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w:t>
      </w:r>
    </w:p>
    <w:p/>
    <w:p/>
    <w:p/>
    <w:p>
      <w:pPr>
        <w:jc w:val="center"/>
        <w:rPr>
          <w:b/>
          <w:sz w:val="36"/>
          <w:szCs w:val="36"/>
        </w:rPr>
      </w:pPr>
    </w:p>
    <w:p>
      <w:pPr>
        <w:ind w:firstLine="522" w:firstLineChars="100"/>
        <w:jc w:val="center"/>
        <w:rPr>
          <w:rFonts w:hint="eastAsia" w:ascii="黑体" w:hAnsi="黑体" w:eastAsia="黑体" w:cs="黑体"/>
          <w:b/>
          <w:sz w:val="52"/>
          <w:szCs w:val="52"/>
        </w:rPr>
      </w:pPr>
      <w:r>
        <w:rPr>
          <w:rFonts w:hint="eastAsia" w:ascii="黑体" w:hAnsi="黑体" w:eastAsia="黑体" w:cs="黑体"/>
          <w:b/>
          <w:sz w:val="52"/>
          <w:szCs w:val="52"/>
        </w:rPr>
        <w:t>中粮（唐山）糖业有限公司</w:t>
      </w:r>
    </w:p>
    <w:p>
      <w:pPr>
        <w:ind w:firstLine="522" w:firstLineChars="100"/>
        <w:jc w:val="center"/>
        <w:rPr>
          <w:rFonts w:hint="eastAsia" w:ascii="黑体" w:hAnsi="黑体" w:eastAsia="黑体" w:cs="黑体"/>
          <w:b/>
          <w:sz w:val="52"/>
          <w:szCs w:val="52"/>
          <w:lang w:eastAsia="zh-CN"/>
        </w:rPr>
      </w:pPr>
      <w:r>
        <w:rPr>
          <w:rFonts w:hint="eastAsia" w:ascii="黑体" w:hAnsi="黑体" w:eastAsia="黑体" w:cs="黑体"/>
          <w:b/>
          <w:sz w:val="52"/>
          <w:szCs w:val="52"/>
          <w:lang w:eastAsia="zh-CN"/>
        </w:rPr>
        <w:t>动力车间除盐水换热改造项目</w:t>
      </w:r>
    </w:p>
    <w:p>
      <w:pPr>
        <w:ind w:firstLine="522" w:firstLineChars="100"/>
        <w:jc w:val="center"/>
        <w:rPr>
          <w:rFonts w:hint="eastAsia" w:ascii="黑体" w:hAnsi="黑体" w:eastAsia="黑体" w:cs="黑体"/>
          <w:b/>
          <w:sz w:val="52"/>
          <w:szCs w:val="52"/>
          <w:u w:val="single"/>
        </w:rPr>
      </w:pPr>
      <w:r>
        <w:rPr>
          <w:rFonts w:hint="eastAsia" w:ascii="黑体" w:hAnsi="黑体" w:eastAsia="黑体" w:cs="黑体"/>
          <w:b/>
          <w:sz w:val="52"/>
          <w:szCs w:val="52"/>
        </w:rPr>
        <w:t>谈判采购文件</w:t>
      </w:r>
    </w:p>
    <w:p>
      <w:pPr>
        <w:rPr>
          <w:sz w:val="36"/>
          <w:szCs w:val="36"/>
        </w:rPr>
      </w:pPr>
    </w:p>
    <w:p>
      <w:pPr>
        <w:rPr>
          <w:sz w:val="36"/>
          <w:szCs w:val="36"/>
        </w:rPr>
      </w:pPr>
    </w:p>
    <w:p/>
    <w:p/>
    <w:p/>
    <w:p/>
    <w:p/>
    <w:p/>
    <w:p/>
    <w:p/>
    <w:p/>
    <w:p/>
    <w:p/>
    <w:p/>
    <w:p/>
    <w:p/>
    <w:p/>
    <w:p/>
    <w:p>
      <w:pPr>
        <w:ind w:firstLine="1606" w:firstLineChars="500"/>
        <w:rPr>
          <w:rFonts w:hint="eastAsia" w:ascii="黑体" w:hAnsi="黑体" w:eastAsia="黑体" w:cs="黑体"/>
          <w:sz w:val="32"/>
          <w:szCs w:val="32"/>
          <w:u w:val="single"/>
        </w:rPr>
      </w:pPr>
      <w:r>
        <w:rPr>
          <w:rFonts w:hint="eastAsia" w:ascii="黑体" w:hAnsi="黑体" w:eastAsia="黑体" w:cs="黑体"/>
          <w:b/>
          <w:sz w:val="32"/>
          <w:szCs w:val="32"/>
        </w:rPr>
        <w:t>招 标 人：</w:t>
      </w:r>
      <w:r>
        <w:rPr>
          <w:rFonts w:hint="eastAsia" w:ascii="黑体" w:hAnsi="黑体" w:eastAsia="黑体" w:cs="黑体"/>
          <w:sz w:val="32"/>
          <w:szCs w:val="32"/>
          <w:u w:val="single"/>
        </w:rPr>
        <w:t xml:space="preserve">中粮（唐山）糖业有限公司 </w:t>
      </w:r>
    </w:p>
    <w:p>
      <w:pPr>
        <w:ind w:firstLine="1606" w:firstLineChars="500"/>
        <w:rPr>
          <w:rFonts w:hint="eastAsia" w:ascii="黑体" w:hAnsi="黑体" w:eastAsia="黑体" w:cs="黑体"/>
          <w:sz w:val="32"/>
          <w:szCs w:val="32"/>
          <w:u w:val="single"/>
        </w:rPr>
      </w:pPr>
      <w:r>
        <w:rPr>
          <w:rFonts w:hint="eastAsia" w:ascii="黑体" w:hAnsi="黑体" w:eastAsia="黑体" w:cs="黑体"/>
          <w:b/>
          <w:sz w:val="32"/>
          <w:szCs w:val="32"/>
        </w:rPr>
        <w:t>日    期：</w:t>
      </w:r>
      <w:r>
        <w:rPr>
          <w:rFonts w:hint="eastAsia" w:ascii="黑体" w:hAnsi="黑体" w:eastAsia="黑体" w:cs="黑体"/>
          <w:sz w:val="32"/>
          <w:szCs w:val="32"/>
          <w:u w:val="single"/>
        </w:rPr>
        <w:t>202</w:t>
      </w:r>
      <w:r>
        <w:rPr>
          <w:rFonts w:hint="eastAsia" w:ascii="黑体" w:hAnsi="黑体" w:eastAsia="黑体" w:cs="黑体"/>
          <w:sz w:val="32"/>
          <w:szCs w:val="32"/>
          <w:u w:val="single"/>
          <w:lang w:val="en-US" w:eastAsia="zh-CN"/>
        </w:rPr>
        <w:t>4</w:t>
      </w:r>
      <w:r>
        <w:rPr>
          <w:rFonts w:hint="eastAsia" w:ascii="黑体" w:hAnsi="黑体" w:eastAsia="黑体" w:cs="黑体"/>
          <w:sz w:val="32"/>
          <w:szCs w:val="32"/>
          <w:u w:val="single"/>
        </w:rPr>
        <w:t>年1月</w:t>
      </w:r>
    </w:p>
    <w:p>
      <w:pPr>
        <w:rPr>
          <w:rFonts w:hint="eastAsia" w:ascii="黑体" w:hAnsi="黑体" w:eastAsia="黑体" w:cs="黑体"/>
          <w:sz w:val="32"/>
          <w:szCs w:val="32"/>
        </w:rPr>
      </w:pPr>
    </w:p>
    <w:p>
      <w:pPr>
        <w:rPr>
          <w:sz w:val="32"/>
          <w:szCs w:val="32"/>
        </w:rPr>
      </w:pPr>
    </w:p>
    <w:p/>
    <w:p>
      <w:pPr>
        <w:sectPr>
          <w:footerReference r:id="rId3" w:type="default"/>
          <w:pgSz w:w="11906" w:h="16838"/>
          <w:pgMar w:top="1440" w:right="1559" w:bottom="1440" w:left="1559" w:header="851" w:footer="992" w:gutter="0"/>
          <w:cols w:space="425" w:num="1"/>
          <w:docGrid w:type="lines" w:linePitch="312" w:charSpace="0"/>
        </w:sectPr>
      </w:pPr>
    </w:p>
    <w:p>
      <w:pPr>
        <w:jc w:val="center"/>
        <w:rPr>
          <w:rFonts w:ascii="Arial Unicode MS" w:eastAsia="Arial Unicode MS"/>
          <w:sz w:val="44"/>
          <w:szCs w:val="44"/>
        </w:rPr>
      </w:pPr>
      <w:r>
        <w:rPr>
          <w:rFonts w:hint="eastAsia" w:ascii="Arial Unicode MS" w:eastAsia="Arial Unicode MS"/>
          <w:sz w:val="44"/>
          <w:szCs w:val="44"/>
        </w:rPr>
        <w:t>目录</w:t>
      </w:r>
    </w:p>
    <w:p>
      <w:pPr>
        <w:jc w:val="center"/>
      </w:pPr>
    </w:p>
    <w:p>
      <w:pPr>
        <w:rPr>
          <w:rFonts w:ascii="楷体_GB2312" w:eastAsia="楷体_GB2312"/>
          <w:bCs/>
          <w:sz w:val="28"/>
          <w:szCs w:val="28"/>
        </w:rPr>
      </w:pPr>
    </w:p>
    <w:p>
      <w:pPr>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谈判须知</w:t>
      </w:r>
    </w:p>
    <w:p>
      <w:pPr>
        <w:pStyle w:val="30"/>
        <w:ind w:left="1260" w:firstLine="0" w:firstLineChars="0"/>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技术要求</w:t>
      </w:r>
    </w:p>
    <w:p>
      <w:pPr>
        <w:pStyle w:val="30"/>
        <w:ind w:left="1260" w:firstLine="0" w:firstLineChars="0"/>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第三章   </w:t>
      </w:r>
      <w:r>
        <w:rPr>
          <w:rFonts w:ascii="楷体_GB2312" w:eastAsia="楷体_GB2312"/>
          <w:bCs/>
          <w:sz w:val="28"/>
          <w:szCs w:val="28"/>
        </w:rPr>
        <w:t>………………………………………………………………………</w:t>
      </w:r>
      <w:r>
        <w:rPr>
          <w:rFonts w:hint="eastAsia" w:ascii="楷体_GB2312" w:eastAsia="楷体_GB2312"/>
          <w:bCs/>
          <w:sz w:val="28"/>
          <w:szCs w:val="28"/>
        </w:rPr>
        <w:t>.合同条款</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第四章   </w:t>
      </w:r>
      <w:r>
        <w:rPr>
          <w:rFonts w:ascii="楷体_GB2312" w:eastAsia="楷体_GB2312"/>
          <w:bCs/>
          <w:sz w:val="28"/>
          <w:szCs w:val="28"/>
        </w:rPr>
        <w:t>………………………………………………………………………</w:t>
      </w:r>
      <w:r>
        <w:rPr>
          <w:rFonts w:hint="eastAsia" w:ascii="楷体_GB2312" w:eastAsia="楷体_GB2312"/>
          <w:bCs/>
          <w:sz w:val="28"/>
          <w:szCs w:val="28"/>
        </w:rPr>
        <w:t>.评审方法</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第五章 </w:t>
      </w:r>
      <w:r>
        <w:rPr>
          <w:rFonts w:ascii="楷体_GB2312" w:eastAsia="楷体_GB2312"/>
          <w:bCs/>
          <w:sz w:val="28"/>
          <w:szCs w:val="28"/>
        </w:rPr>
        <w:t xml:space="preserve">  ………………………………………………………………………..</w:t>
      </w:r>
      <w:r>
        <w:rPr>
          <w:rFonts w:hint="eastAsia" w:ascii="楷体_GB2312" w:eastAsia="楷体_GB2312"/>
          <w:bCs/>
          <w:sz w:val="28"/>
          <w:szCs w:val="28"/>
        </w:rPr>
        <w:t>响应文件</w:t>
      </w:r>
    </w:p>
    <w:p>
      <w:pPr>
        <w:rPr>
          <w:rFonts w:ascii="黑体" w:hAnsi="黑体" w:eastAsia="黑体"/>
          <w:bCs/>
          <w:sz w:val="36"/>
          <w:szCs w:val="28"/>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napToGrid w:val="0"/>
        <w:spacing w:line="580" w:lineRule="exact"/>
        <w:jc w:val="center"/>
        <w:rPr>
          <w:rFonts w:ascii="仿宋_GB2312" w:hAnsi="宋体" w:eastAsia="仿宋_GB2312" w:cs="仿宋_GB2312"/>
          <w:b/>
          <w:bCs/>
          <w:sz w:val="32"/>
          <w:szCs w:val="32"/>
        </w:rPr>
      </w:pPr>
    </w:p>
    <w:p>
      <w:pPr>
        <w:snapToGrid w:val="0"/>
        <w:spacing w:line="580" w:lineRule="exact"/>
        <w:jc w:val="center"/>
        <w:rPr>
          <w:rFonts w:ascii="仿宋_GB2312" w:hAnsi="宋体" w:eastAsia="仿宋_GB2312" w:cs="仿宋_GB2312"/>
          <w:b/>
          <w:bCs/>
          <w:sz w:val="32"/>
          <w:szCs w:val="32"/>
        </w:rPr>
      </w:pPr>
    </w:p>
    <w:p>
      <w:pPr>
        <w:snapToGrid w:val="0"/>
        <w:spacing w:line="580" w:lineRule="exact"/>
        <w:rPr>
          <w:rFonts w:ascii="仿宋_GB2312" w:hAnsi="宋体" w:eastAsia="仿宋_GB2312" w:cs="仿宋_GB2312"/>
          <w:b/>
          <w:bCs/>
          <w:sz w:val="32"/>
          <w:szCs w:val="32"/>
        </w:rPr>
      </w:pPr>
    </w:p>
    <w:p>
      <w:pPr>
        <w:pStyle w:val="2"/>
        <w:jc w:val="center"/>
        <w:rPr>
          <w:rFonts w:ascii="黑体" w:eastAsia="黑体"/>
          <w:sz w:val="36"/>
          <w:szCs w:val="36"/>
        </w:rPr>
      </w:pPr>
      <w:r>
        <w:rPr>
          <w:rFonts w:hint="eastAsia" w:ascii="黑体" w:eastAsia="黑体"/>
          <w:bCs w:val="0"/>
          <w:sz w:val="36"/>
          <w:szCs w:val="36"/>
        </w:rPr>
        <w:t>第一章</w:t>
      </w:r>
      <w:r>
        <w:rPr>
          <w:rFonts w:hint="eastAsia" w:ascii="黑体" w:eastAsia="黑体"/>
          <w:sz w:val="36"/>
          <w:szCs w:val="36"/>
        </w:rPr>
        <w:t>谈判须知</w:t>
      </w:r>
    </w:p>
    <w:p>
      <w:r>
        <w:rPr>
          <w:rFonts w:hint="eastAsia"/>
        </w:rPr>
        <w:t>（本谈判文件请投标单位认真阅读，任何遗漏或疏忽都有可能导致无效标书或废标）</w:t>
      </w:r>
    </w:p>
    <w:tbl>
      <w:tblPr>
        <w:tblStyle w:val="23"/>
        <w:tblW w:w="1003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center"/>
              <w:rPr>
                <w:rFonts w:asciiTheme="minorEastAsia" w:hAnsiTheme="minorEastAsia"/>
                <w:szCs w:val="21"/>
              </w:rPr>
            </w:pPr>
            <w:r>
              <w:rPr>
                <w:rFonts w:hint="eastAsia" w:asciiTheme="minorEastAsia" w:hAnsiTheme="minorEastAsia"/>
                <w:szCs w:val="21"/>
              </w:rPr>
              <w:t>序号</w:t>
            </w:r>
          </w:p>
        </w:tc>
        <w:tc>
          <w:tcPr>
            <w:tcW w:w="1701" w:type="dxa"/>
          </w:tcPr>
          <w:p>
            <w:pPr>
              <w:jc w:val="center"/>
              <w:rPr>
                <w:rFonts w:asciiTheme="minorEastAsia" w:hAnsiTheme="minorEastAsia"/>
                <w:szCs w:val="21"/>
              </w:rPr>
            </w:pPr>
            <w:r>
              <w:rPr>
                <w:rFonts w:hint="eastAsia" w:asciiTheme="minorEastAsia" w:hAnsiTheme="minorEastAsia"/>
                <w:szCs w:val="21"/>
              </w:rPr>
              <w:t>名称</w:t>
            </w:r>
          </w:p>
        </w:tc>
        <w:tc>
          <w:tcPr>
            <w:tcW w:w="7910" w:type="dxa"/>
          </w:tcPr>
          <w:p>
            <w:pPr>
              <w:jc w:val="center"/>
              <w:rPr>
                <w:rFonts w:asciiTheme="minorEastAsia" w:hAnsiTheme="minorEastAsia"/>
                <w:szCs w:val="21"/>
              </w:rPr>
            </w:pPr>
            <w:r>
              <w:rPr>
                <w:rFonts w:hint="eastAsia" w:asciiTheme="minorEastAsia" w:hAnsiTheme="minorEastAsia"/>
                <w:szCs w:val="21"/>
              </w:rPr>
              <w:t>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p>
        </w:tc>
        <w:tc>
          <w:tcPr>
            <w:tcW w:w="1701" w:type="dxa"/>
          </w:tcPr>
          <w:p>
            <w:pPr>
              <w:jc w:val="left"/>
              <w:rPr>
                <w:rFonts w:asciiTheme="minorEastAsia" w:hAnsiTheme="minorEastAsia"/>
                <w:szCs w:val="21"/>
              </w:rPr>
            </w:pPr>
            <w:r>
              <w:rPr>
                <w:rFonts w:hint="eastAsia" w:asciiTheme="minorEastAsia" w:hAnsiTheme="minorEastAsia"/>
                <w:szCs w:val="21"/>
              </w:rPr>
              <w:t>项目名称</w:t>
            </w:r>
          </w:p>
        </w:tc>
        <w:tc>
          <w:tcPr>
            <w:tcW w:w="7910" w:type="dxa"/>
          </w:tcPr>
          <w:p>
            <w:pPr>
              <w:jc w:val="left"/>
              <w:rPr>
                <w:rFonts w:asciiTheme="minorEastAsia" w:hAnsiTheme="minorEastAsia"/>
                <w:szCs w:val="21"/>
              </w:rPr>
            </w:pPr>
            <w:r>
              <w:rPr>
                <w:rFonts w:hint="eastAsia" w:cs="仿宋_GB2312" w:asciiTheme="minorEastAsia" w:hAnsiTheme="minorEastAsia"/>
                <w:b/>
                <w:bCs/>
                <w:szCs w:val="21"/>
                <w:lang w:eastAsia="zh-CN"/>
              </w:rPr>
              <w:t>动力车间除盐水换热改造项目</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2</w:t>
            </w:r>
          </w:p>
        </w:tc>
        <w:tc>
          <w:tcPr>
            <w:tcW w:w="1701" w:type="dxa"/>
          </w:tcPr>
          <w:p>
            <w:pPr>
              <w:jc w:val="left"/>
              <w:rPr>
                <w:rFonts w:asciiTheme="minorEastAsia" w:hAnsiTheme="minorEastAsia"/>
                <w:szCs w:val="21"/>
              </w:rPr>
            </w:pPr>
            <w:r>
              <w:rPr>
                <w:rFonts w:hint="eastAsia" w:asciiTheme="minorEastAsia" w:hAnsiTheme="minorEastAsia"/>
                <w:szCs w:val="21"/>
              </w:rPr>
              <w:t>适用范围</w:t>
            </w:r>
          </w:p>
        </w:tc>
        <w:tc>
          <w:tcPr>
            <w:tcW w:w="7910" w:type="dxa"/>
          </w:tcPr>
          <w:p>
            <w:pPr>
              <w:spacing w:line="240" w:lineRule="atLeast"/>
              <w:jc w:val="left"/>
              <w:rPr>
                <w:rFonts w:cs="仿宋_GB2312" w:asciiTheme="minorEastAsia" w:hAnsiTheme="minorEastAsia"/>
                <w:szCs w:val="21"/>
              </w:rPr>
            </w:pPr>
            <w:r>
              <w:rPr>
                <w:rFonts w:hint="eastAsia" w:cs="仿宋_GB2312"/>
                <w:bCs/>
                <w:szCs w:val="21"/>
              </w:rPr>
              <w:t>本招标文件仅适用于中粮（唐山）糖业有限公司组织的采购活动。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3</w:t>
            </w:r>
          </w:p>
        </w:tc>
        <w:tc>
          <w:tcPr>
            <w:tcW w:w="1701" w:type="dxa"/>
          </w:tcPr>
          <w:p>
            <w:pPr>
              <w:jc w:val="left"/>
              <w:rPr>
                <w:rFonts w:asciiTheme="minorEastAsia" w:hAnsiTheme="minorEastAsia"/>
                <w:szCs w:val="21"/>
              </w:rPr>
            </w:pPr>
            <w:r>
              <w:rPr>
                <w:rFonts w:hint="eastAsia" w:asciiTheme="minorEastAsia" w:hAnsiTheme="minorEastAsia"/>
                <w:szCs w:val="21"/>
              </w:rPr>
              <w:t>定义</w:t>
            </w:r>
          </w:p>
        </w:tc>
        <w:tc>
          <w:tcPr>
            <w:tcW w:w="7910" w:type="dxa"/>
          </w:tcPr>
          <w:p>
            <w:pPr>
              <w:tabs>
                <w:tab w:val="left" w:pos="441"/>
              </w:tabs>
              <w:autoSpaceDE w:val="0"/>
              <w:autoSpaceDN w:val="0"/>
              <w:adjustRightInd w:val="0"/>
              <w:spacing w:line="240" w:lineRule="atLeast"/>
              <w:rPr>
                <w:rFonts w:cs="仿宋_GB2312"/>
                <w:szCs w:val="21"/>
              </w:rPr>
            </w:pPr>
            <w:bookmarkStart w:id="0" w:name="_Hlk131079327"/>
            <w:r>
              <w:rPr>
                <w:rFonts w:hint="eastAsia" w:cs="仿宋_GB2312"/>
                <w:szCs w:val="21"/>
              </w:rPr>
              <w:t>本招标文件使用的下列词语定义如下：</w:t>
            </w:r>
          </w:p>
          <w:p>
            <w:pPr>
              <w:numPr>
                <w:ilvl w:val="255"/>
                <w:numId w:val="0"/>
              </w:numPr>
              <w:autoSpaceDE w:val="0"/>
              <w:autoSpaceDN w:val="0"/>
              <w:adjustRightInd w:val="0"/>
              <w:spacing w:line="240" w:lineRule="atLeast"/>
              <w:rPr>
                <w:rFonts w:cs="仿宋_GB2312"/>
                <w:szCs w:val="21"/>
              </w:rPr>
            </w:pPr>
            <w:r>
              <w:rPr>
                <w:rFonts w:hint="eastAsia" w:cs="仿宋_GB2312"/>
                <w:szCs w:val="21"/>
              </w:rPr>
              <w:t>（1）“招标人”均指</w:t>
            </w:r>
            <w:r>
              <w:rPr>
                <w:rFonts w:hint="eastAsia" w:cs="仿宋_GB2312"/>
                <w:bCs/>
                <w:szCs w:val="21"/>
              </w:rPr>
              <w:t>中粮（唐山）糖业有限公司</w:t>
            </w:r>
            <w:r>
              <w:rPr>
                <w:rFonts w:hint="eastAsia" w:cs="仿宋_GB2312"/>
                <w:szCs w:val="21"/>
              </w:rPr>
              <w:t>；</w:t>
            </w:r>
          </w:p>
          <w:p>
            <w:pPr>
              <w:numPr>
                <w:ilvl w:val="255"/>
                <w:numId w:val="0"/>
              </w:numPr>
              <w:autoSpaceDE w:val="0"/>
              <w:autoSpaceDN w:val="0"/>
              <w:adjustRightInd w:val="0"/>
              <w:spacing w:line="240" w:lineRule="atLeast"/>
              <w:rPr>
                <w:rFonts w:cs="仿宋_GB2312"/>
                <w:szCs w:val="21"/>
              </w:rPr>
            </w:pPr>
            <w:r>
              <w:rPr>
                <w:rFonts w:hint="eastAsia" w:cs="仿宋_GB2312"/>
                <w:szCs w:val="21"/>
              </w:rPr>
              <w:t>（2）“投标人”指向</w:t>
            </w:r>
            <w:r>
              <w:rPr>
                <w:rFonts w:hint="eastAsia" w:cs="仿宋_GB2312"/>
                <w:bCs/>
                <w:szCs w:val="21"/>
              </w:rPr>
              <w:t>中粮（唐山）糖业有限公司</w:t>
            </w:r>
            <w:r>
              <w:rPr>
                <w:rFonts w:hint="eastAsia" w:cs="仿宋_GB2312"/>
                <w:szCs w:val="21"/>
              </w:rPr>
              <w:t>提交投标文件；</w:t>
            </w:r>
          </w:p>
          <w:p>
            <w:pPr>
              <w:numPr>
                <w:ilvl w:val="255"/>
                <w:numId w:val="0"/>
              </w:numPr>
              <w:autoSpaceDE w:val="0"/>
              <w:autoSpaceDN w:val="0"/>
              <w:adjustRightInd w:val="0"/>
              <w:spacing w:line="240" w:lineRule="atLeast"/>
              <w:rPr>
                <w:rFonts w:cs="仿宋_GB2312"/>
                <w:szCs w:val="21"/>
              </w:rPr>
            </w:pPr>
            <w:r>
              <w:rPr>
                <w:rFonts w:hint="eastAsia" w:cs="仿宋_GB2312"/>
                <w:szCs w:val="21"/>
              </w:rPr>
              <w:t>（3）“招标文件”指</w:t>
            </w:r>
            <w:r>
              <w:rPr>
                <w:rFonts w:hint="eastAsia" w:cs="仿宋_GB2312"/>
                <w:bCs/>
                <w:szCs w:val="21"/>
              </w:rPr>
              <w:t>中粮（唐山）糖业有限公司</w:t>
            </w:r>
            <w:r>
              <w:rPr>
                <w:rFonts w:hint="eastAsia" w:cs="仿宋_GB2312"/>
                <w:szCs w:val="21"/>
              </w:rPr>
              <w:t>发出的本文件，包括附件；</w:t>
            </w:r>
          </w:p>
          <w:p>
            <w:pPr>
              <w:spacing w:line="240" w:lineRule="atLeast"/>
              <w:jc w:val="left"/>
              <w:rPr>
                <w:rFonts w:cs="仿宋_GB2312" w:asciiTheme="minorEastAsia" w:hAnsiTheme="minorEastAsia"/>
                <w:szCs w:val="21"/>
              </w:rPr>
            </w:pPr>
            <w:r>
              <w:rPr>
                <w:rFonts w:hint="eastAsia" w:cs="仿宋_GB2312"/>
                <w:szCs w:val="21"/>
              </w:rPr>
              <w:t>（4）“投标文件”指投标人根据本招标文件向</w:t>
            </w:r>
            <w:r>
              <w:rPr>
                <w:rFonts w:hint="eastAsia" w:cs="仿宋_GB2312"/>
                <w:bCs/>
                <w:szCs w:val="21"/>
              </w:rPr>
              <w:t>中粮（唐山）糖业有限公司</w:t>
            </w:r>
            <w:r>
              <w:rPr>
                <w:rFonts w:hint="eastAsia" w:cs="仿宋_GB2312"/>
                <w:szCs w:val="21"/>
              </w:rPr>
              <w:t>交的全部文件；</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4</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项目地点</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w:t>
            </w:r>
            <w:r>
              <w:rPr>
                <w:rFonts w:cs="仿宋_GB2312" w:asciiTheme="minorEastAsia" w:hAnsiTheme="minorEastAsia"/>
                <w:szCs w:val="21"/>
              </w:rPr>
              <w:t>中粮（唐山）糖业有限公司</w:t>
            </w:r>
            <w:r>
              <w:rPr>
                <w:rFonts w:hint="eastAsia" w:cs="仿宋_GB2312" w:asciiTheme="minorEastAsia" w:hAnsiTheme="minorEastAsia"/>
                <w:szCs w:val="21"/>
              </w:rPr>
              <w:t>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5</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项目服务区域</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服务期内中粮（唐山）糖业有限公司服务项目所在地（根据实际修改）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6</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项目控制价</w:t>
            </w:r>
          </w:p>
        </w:tc>
        <w:tc>
          <w:tcPr>
            <w:tcW w:w="7910" w:type="dxa"/>
          </w:tcPr>
          <w:p>
            <w:pPr>
              <w:spacing w:line="240" w:lineRule="atLeast"/>
              <w:jc w:val="left"/>
              <w:rPr>
                <w:rFonts w:asciiTheme="minorEastAsia" w:hAnsiTheme="minorEastAsia"/>
                <w:szCs w:val="21"/>
                <w:highlight w:val="none"/>
              </w:rPr>
            </w:pPr>
            <w:r>
              <w:rPr>
                <w:rFonts w:hint="eastAsia" w:cs="仿宋_GB2312" w:asciiTheme="minorEastAsia" w:hAnsiTheme="minorEastAsia"/>
                <w:szCs w:val="21"/>
                <w:highlight w:val="none"/>
                <w:lang w:val="en-US" w:eastAsia="zh-CN"/>
              </w:rPr>
              <w:t>229,784.63</w:t>
            </w:r>
            <w:r>
              <w:rPr>
                <w:rFonts w:hint="eastAsia" w:cs="仿宋_GB2312" w:asciiTheme="minorEastAsia" w:hAnsiTheme="minorEastAsia"/>
                <w:szCs w:val="21"/>
                <w:highlight w:val="none"/>
              </w:rPr>
              <w:t>元</w:t>
            </w:r>
            <w:r>
              <w:rPr>
                <w:rFonts w:cs="仿宋_GB2312" w:asciiTheme="minorEastAsia" w:hAnsiTheme="minorEastAsia"/>
                <w:szCs w:val="21"/>
                <w:highlight w:val="none"/>
              </w:rPr>
              <w:t>(</w:t>
            </w:r>
            <w:r>
              <w:rPr>
                <w:rFonts w:hint="eastAsia" w:cs="仿宋_GB2312" w:asciiTheme="minorEastAsia" w:hAnsiTheme="minorEastAsia"/>
                <w:szCs w:val="21"/>
                <w:highlight w:val="none"/>
                <w:lang w:val="en-US" w:eastAsia="zh-CN"/>
              </w:rPr>
              <w:t>招标以清单编制单位出具控制价为准</w:t>
            </w:r>
            <w:r>
              <w:rPr>
                <w:rFonts w:hint="eastAsia" w:cs="仿宋_GB2312" w:asciiTheme="minorEastAsia" w:hAnsiTheme="minorEastAsia"/>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7</w:t>
            </w:r>
          </w:p>
        </w:tc>
        <w:tc>
          <w:tcPr>
            <w:tcW w:w="1701" w:type="dxa"/>
          </w:tcPr>
          <w:p>
            <w:pPr>
              <w:jc w:val="left"/>
              <w:rPr>
                <w:rFonts w:asciiTheme="minorEastAsia" w:hAnsiTheme="minorEastAsia"/>
                <w:szCs w:val="21"/>
              </w:rPr>
            </w:pPr>
            <w:r>
              <w:rPr>
                <w:rFonts w:hint="eastAsia" w:asciiTheme="minorEastAsia" w:hAnsiTheme="minorEastAsia"/>
                <w:szCs w:val="21"/>
              </w:rPr>
              <w:t>服务内容</w:t>
            </w:r>
          </w:p>
        </w:tc>
        <w:tc>
          <w:tcPr>
            <w:tcW w:w="7910" w:type="dxa"/>
          </w:tcPr>
          <w:p>
            <w:pPr>
              <w:spacing w:line="240" w:lineRule="atLeast"/>
              <w:jc w:val="left"/>
              <w:rPr>
                <w:rFonts w:hint="eastAsia" w:ascii="宋体" w:hAnsi="宋体" w:eastAsia="宋体" w:cs="仿宋_GB2312"/>
                <w:szCs w:val="21"/>
                <w:lang w:eastAsia="zh-CN"/>
              </w:rPr>
            </w:pPr>
            <w:r>
              <w:rPr>
                <w:rFonts w:hint="eastAsia" w:ascii="宋体" w:hAnsi="宋体" w:eastAsia="宋体" w:cs="仿宋_GB2312"/>
                <w:szCs w:val="21"/>
              </w:rPr>
              <w:t>本项目主要利用炼糖车间二期回水增加两台（换热面积400㎡）列管换热器（利旧）进行余热换热除盐水，增加进入除氧器除盐水温度，保证罐体保温性能，提高效能利用</w:t>
            </w:r>
            <w:r>
              <w:rPr>
                <w:rFonts w:hint="eastAsia" w:ascii="宋体" w:hAnsi="宋体" w:eastAsia="宋体" w:cs="仿宋_GB2312"/>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8</w:t>
            </w:r>
          </w:p>
        </w:tc>
        <w:tc>
          <w:tcPr>
            <w:tcW w:w="1701" w:type="dxa"/>
          </w:tcPr>
          <w:p>
            <w:pPr>
              <w:jc w:val="left"/>
              <w:rPr>
                <w:rFonts w:asciiTheme="minorEastAsia" w:hAnsiTheme="minorEastAsia"/>
                <w:szCs w:val="21"/>
                <w:highlight w:val="none"/>
              </w:rPr>
            </w:pPr>
            <w:r>
              <w:rPr>
                <w:rFonts w:hint="eastAsia" w:cs="仿宋_GB2312" w:asciiTheme="minorEastAsia" w:hAnsiTheme="minorEastAsia"/>
                <w:szCs w:val="21"/>
                <w:highlight w:val="none"/>
              </w:rPr>
              <w:t>项目服务</w:t>
            </w:r>
            <w:r>
              <w:rPr>
                <w:rFonts w:hint="eastAsia" w:asciiTheme="minorEastAsia" w:hAnsiTheme="minorEastAsia"/>
                <w:szCs w:val="21"/>
                <w:highlight w:val="none"/>
              </w:rPr>
              <w:t>期限</w:t>
            </w:r>
          </w:p>
        </w:tc>
        <w:tc>
          <w:tcPr>
            <w:tcW w:w="7910" w:type="dxa"/>
          </w:tcPr>
          <w:p>
            <w:pPr>
              <w:spacing w:line="240" w:lineRule="atLeast"/>
              <w:jc w:val="left"/>
              <w:rPr>
                <w:rFonts w:cs="仿宋_GB2312" w:asciiTheme="minorEastAsia" w:hAnsiTheme="minorEastAsia"/>
                <w:szCs w:val="21"/>
                <w:highlight w:val="none"/>
              </w:rPr>
            </w:pPr>
            <w:r>
              <w:rPr>
                <w:rFonts w:cs="仿宋_GB2312" w:asciiTheme="minorEastAsia" w:hAnsiTheme="minorEastAsia"/>
                <w:szCs w:val="21"/>
                <w:highlight w:val="none"/>
              </w:rPr>
              <w:t>自项目具备施工条件起</w:t>
            </w:r>
            <w:r>
              <w:rPr>
                <w:rFonts w:hint="eastAsia" w:cs="仿宋_GB2312" w:asciiTheme="minorEastAsia" w:hAnsiTheme="minorEastAsia"/>
                <w:szCs w:val="21"/>
                <w:highlight w:val="none"/>
                <w:lang w:val="en-US" w:eastAsia="zh-CN"/>
              </w:rPr>
              <w:t>15日历天</w:t>
            </w:r>
            <w:r>
              <w:rPr>
                <w:rFonts w:hint="eastAsia" w:cs="仿宋_GB2312" w:asciiTheme="minorEastAsia" w:hAnsiTheme="minorEastAsia"/>
                <w:szCs w:val="21"/>
                <w:highlight w:val="none"/>
              </w:rPr>
              <w:t>完成项目全部的安装、改造工程，</w:t>
            </w:r>
            <w:r>
              <w:rPr>
                <w:rFonts w:hint="eastAsia" w:cs="仿宋_GB2312" w:asciiTheme="minorEastAsia" w:hAnsiTheme="minorEastAsia"/>
                <w:szCs w:val="21"/>
                <w:highlight w:val="none"/>
                <w:lang w:val="en-US" w:eastAsia="zh-CN"/>
              </w:rPr>
              <w:t>完成调试验收</w:t>
            </w:r>
            <w:r>
              <w:rPr>
                <w:rFonts w:hint="eastAsia" w:cs="仿宋_GB2312" w:asciiTheme="minorEastAsia" w:hAnsiTheme="minorEastAsia"/>
                <w:szCs w:val="21"/>
                <w:highlight w:val="none"/>
              </w:rPr>
              <w:t>。此项目施工人员总人数10人以上，其中每个小项目人员不少于3人。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9</w:t>
            </w:r>
          </w:p>
        </w:tc>
        <w:tc>
          <w:tcPr>
            <w:tcW w:w="1701" w:type="dxa"/>
          </w:tcPr>
          <w:p>
            <w:pPr>
              <w:jc w:val="left"/>
              <w:rPr>
                <w:rFonts w:asciiTheme="minorEastAsia" w:hAnsiTheme="minorEastAsia"/>
                <w:szCs w:val="21"/>
              </w:rPr>
            </w:pPr>
            <w:r>
              <w:rPr>
                <w:rFonts w:hint="eastAsia" w:asciiTheme="minorEastAsia" w:hAnsiTheme="minorEastAsia"/>
                <w:szCs w:val="21"/>
              </w:rPr>
              <w:t>采购方式</w:t>
            </w:r>
          </w:p>
        </w:tc>
        <w:tc>
          <w:tcPr>
            <w:tcW w:w="7910" w:type="dxa"/>
          </w:tcPr>
          <w:p>
            <w:pPr>
              <w:spacing w:line="240" w:lineRule="atLeast"/>
              <w:jc w:val="left"/>
              <w:rPr>
                <w:rFonts w:asciiTheme="minorEastAsia" w:hAnsiTheme="minorEastAsia"/>
                <w:szCs w:val="21"/>
              </w:rPr>
            </w:pPr>
            <w:r>
              <w:rPr>
                <w:rFonts w:hint="eastAsia" w:asciiTheme="minorEastAsia" w:hAnsiTheme="minorEastAsia"/>
                <w:szCs w:val="21"/>
              </w:rPr>
              <w:t>谈判采购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10</w:t>
            </w:r>
          </w:p>
        </w:tc>
        <w:tc>
          <w:tcPr>
            <w:tcW w:w="1701" w:type="dxa"/>
          </w:tcPr>
          <w:p>
            <w:pPr>
              <w:jc w:val="left"/>
              <w:rPr>
                <w:rFonts w:asciiTheme="minorEastAsia" w:hAnsiTheme="minorEastAsia"/>
                <w:szCs w:val="21"/>
              </w:rPr>
            </w:pPr>
            <w:r>
              <w:rPr>
                <w:rFonts w:hint="eastAsia" w:cs="仿宋_GB2312" w:asciiTheme="minorEastAsia" w:hAnsiTheme="minorEastAsia"/>
                <w:bCs/>
                <w:szCs w:val="21"/>
              </w:rPr>
              <w:t>合格意向投标人的资格条件</w:t>
            </w:r>
          </w:p>
        </w:tc>
        <w:tc>
          <w:tcPr>
            <w:tcW w:w="7910" w:type="dxa"/>
          </w:tcPr>
          <w:p>
            <w:pPr>
              <w:widowControl/>
              <w:snapToGrid w:val="0"/>
              <w:spacing w:line="240" w:lineRule="atLeast"/>
              <w:rPr>
                <w:rFonts w:asciiTheme="minorEastAsia" w:hAnsiTheme="minorEastAsia"/>
                <w:bCs/>
                <w:szCs w:val="21"/>
              </w:rPr>
            </w:pPr>
            <w:r>
              <w:rPr>
                <w:rFonts w:hint="eastAsia" w:asciiTheme="minorEastAsia" w:hAnsiTheme="minorEastAsia"/>
                <w:bCs/>
                <w:szCs w:val="21"/>
              </w:rPr>
              <w:t>（1）投标人必须是中华人民共和国境内合法注册的独立法人机构或其他组织；</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（2）具备：“统一社会信用代码证”的营业执照；</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（3）提供法定代表人证明书和法定代表人授权委托证明书；</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（4）参加招投标活动前三年内在经营活动中没有重大违法记录；</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（5）单位负责人为同一人或者存在直接控股、管理关系的不同投标人，不得参加同一合同项下的投标活动；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（6）在“信用中国”网站（www.creditchina.gov.cn）中被列入失信被执行人、重大税收违法案件当事人名单、政府采购严重违法失信行为记录名单的投标人，不得参加本次招标活动；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（7）应自觉抵制采购领域商业贿赂行为；</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（8）本项目不允许联合体响应；</w:t>
            </w:r>
          </w:p>
          <w:p>
            <w:pPr>
              <w:widowControl/>
              <w:tabs>
                <w:tab w:val="left" w:pos="5976"/>
              </w:tabs>
              <w:snapToGrid w:val="0"/>
              <w:spacing w:line="240" w:lineRule="atLeast"/>
              <w:rPr>
                <w:rFonts w:asciiTheme="minorEastAsia" w:hAnsiTheme="minorEastAsia"/>
                <w:bCs/>
                <w:szCs w:val="21"/>
              </w:rPr>
            </w:pPr>
            <w:r>
              <w:rPr>
                <w:rFonts w:hint="eastAsia" w:asciiTheme="minorEastAsia" w:hAnsiTheme="minorEastAsia"/>
                <w:bCs/>
                <w:szCs w:val="21"/>
              </w:rPr>
              <w:t>（9）中粮糖业黑名单内的供应商不得投标。</w:t>
            </w:r>
            <w:r>
              <w:rPr>
                <w:rFonts w:asciiTheme="minorEastAsia" w:hAnsiTheme="minorEastAsia"/>
                <w:bCs/>
                <w:szCs w:val="21"/>
              </w:rPr>
              <w:tab/>
            </w:r>
          </w:p>
          <w:p>
            <w:pPr>
              <w:autoSpaceDE w:val="0"/>
              <w:autoSpaceDN w:val="0"/>
              <w:adjustRightInd w:val="0"/>
              <w:spacing w:line="240" w:lineRule="atLeast"/>
              <w:ind w:left="630" w:hanging="630" w:hangingChars="300"/>
              <w:jc w:val="left"/>
              <w:rPr>
                <w:rFonts w:hint="default" w:ascii="宋体" w:hAnsi="宋体" w:eastAsia="宋体" w:cs="仿宋_GB2312"/>
                <w:kern w:val="0"/>
                <w:szCs w:val="21"/>
                <w:highlight w:val="none"/>
                <w:lang w:val="en-US" w:eastAsia="zh-CN"/>
              </w:rPr>
            </w:pPr>
            <w:r>
              <w:rPr>
                <w:rFonts w:hint="eastAsia" w:ascii="宋体" w:hAnsi="宋体" w:eastAsia="宋体"/>
                <w:bCs/>
                <w:szCs w:val="21"/>
                <w:highlight w:val="none"/>
              </w:rPr>
              <w:t>（1</w:t>
            </w:r>
            <w:r>
              <w:rPr>
                <w:rFonts w:ascii="宋体" w:hAnsi="宋体" w:eastAsia="宋体"/>
                <w:bCs/>
                <w:szCs w:val="21"/>
                <w:highlight w:val="none"/>
              </w:rPr>
              <w:t>0</w:t>
            </w:r>
            <w:r>
              <w:rPr>
                <w:rFonts w:hint="eastAsia" w:ascii="宋体" w:hAnsi="宋体" w:eastAsia="宋体"/>
                <w:bCs/>
                <w:szCs w:val="21"/>
                <w:highlight w:val="none"/>
              </w:rPr>
              <w:t>）</w:t>
            </w:r>
            <w:r>
              <w:rPr>
                <w:rFonts w:hint="eastAsia" w:ascii="宋体" w:hAnsi="宋体" w:eastAsia="宋体"/>
                <w:bCs/>
                <w:szCs w:val="21"/>
                <w:highlight w:val="none"/>
                <w:lang w:val="en-US" w:eastAsia="zh-CN"/>
              </w:rPr>
              <w:t>资质要求：建筑机电安装工程专业承包资质三级及以上。</w:t>
            </w:r>
          </w:p>
          <w:p>
            <w:pPr>
              <w:autoSpaceDE w:val="0"/>
              <w:autoSpaceDN w:val="0"/>
              <w:adjustRightInd w:val="0"/>
              <w:spacing w:line="240" w:lineRule="atLeast"/>
              <w:ind w:left="630" w:hanging="630" w:hangingChars="300"/>
              <w:jc w:val="left"/>
              <w:rPr>
                <w:rFonts w:ascii="宋体" w:hAnsi="宋体" w:eastAsia="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26" w:type="dxa"/>
          </w:tcPr>
          <w:p>
            <w:pPr>
              <w:jc w:val="left"/>
              <w:rPr>
                <w:rFonts w:asciiTheme="minorEastAsia" w:hAnsiTheme="minorEastAsia"/>
                <w:szCs w:val="21"/>
              </w:rPr>
            </w:pPr>
            <w:r>
              <w:rPr>
                <w:rFonts w:asciiTheme="minorEastAsia" w:hAnsiTheme="minorEastAsia"/>
                <w:szCs w:val="21"/>
              </w:rPr>
              <w:t>11</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投标人注册</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意向投标人须在中粮糖业采购平台进行注册登记，通过审核的才能够在EPS系统内报名，进行查看公告等业务操作；</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采购平台网址：</w:t>
            </w:r>
            <w:r>
              <w:t>https://eps.cofcosugar.com/</w:t>
            </w:r>
            <w:r>
              <w:rPr>
                <w:rFonts w:hint="eastAsia" w:cs="仿宋_GB2312" w:asciiTheme="minorEastAsia" w:hAnsiTheme="minorEastAsia"/>
                <w:szCs w:val="21"/>
              </w:rPr>
              <w:t>。</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 xml:space="preserve">已注册的意向投标人在EPS系统内自行更新资料，补充不足部分，更新已过期资质，重新提交审核，资质审核不通过的不得参与报价； </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请参与本次报价的意向投标人注册填报采购组织时，选择：中粮（唐山）糖业有限公司。</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系统固定注册资料需有：营业执照、开户许可证、纳税人资格证、法人代表授权委托书、质量承诺书、廉洁承诺书。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w:t>
            </w:r>
          </w:p>
        </w:tc>
        <w:tc>
          <w:tcPr>
            <w:tcW w:w="1701" w:type="dxa"/>
            <w:vAlign w:val="center"/>
          </w:tcPr>
          <w:p>
            <w:pPr>
              <w:jc w:val="left"/>
              <w:rPr>
                <w:rFonts w:cs="仿宋_GB2312" w:asciiTheme="minorEastAsia" w:hAnsiTheme="minorEastAsia"/>
                <w:bCs/>
                <w:szCs w:val="21"/>
              </w:rPr>
            </w:pPr>
            <w:r>
              <w:rPr>
                <w:rFonts w:hint="eastAsia" w:asciiTheme="minorEastAsia" w:hAnsiTheme="minorEastAsia"/>
                <w:szCs w:val="21"/>
              </w:rPr>
              <w:t>响应有效期</w:t>
            </w:r>
          </w:p>
        </w:tc>
        <w:tc>
          <w:tcPr>
            <w:tcW w:w="7910" w:type="dxa"/>
            <w:vAlign w:val="center"/>
          </w:tcPr>
          <w:p>
            <w:pPr>
              <w:snapToGrid w:val="0"/>
              <w:spacing w:line="240" w:lineRule="atLeast"/>
              <w:rPr>
                <w:rFonts w:cs="仿宋_GB2312" w:asciiTheme="minorEastAsia" w:hAnsiTheme="minorEastAsia"/>
                <w:szCs w:val="21"/>
              </w:rPr>
            </w:pPr>
            <w:r>
              <w:rPr>
                <w:rFonts w:hint="eastAsia" w:asciiTheme="minorEastAsia" w:hAnsiTheme="minorEastAsia"/>
                <w:szCs w:val="21"/>
              </w:rPr>
              <w:t>响应有效期为开启响应文件之日起90日历天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13</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投标保证金（如果业务部门不收取保证金，则取消</w:t>
            </w:r>
            <w:r>
              <w:rPr>
                <w:rFonts w:cs="仿宋_GB2312" w:asciiTheme="minorEastAsia" w:hAnsiTheme="minorEastAsia"/>
                <w:bCs/>
                <w:szCs w:val="21"/>
              </w:rPr>
              <w:t>13.14.15</w:t>
            </w:r>
            <w:r>
              <w:rPr>
                <w:rFonts w:hint="eastAsia" w:cs="仿宋_GB2312" w:asciiTheme="minorEastAsia" w:hAnsiTheme="minorEastAsia"/>
                <w:bCs/>
                <w:szCs w:val="21"/>
              </w:rPr>
              <w:t>）</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意向投标人需在</w:t>
            </w:r>
            <w:r>
              <w:rPr>
                <w:rFonts w:cs="仿宋_GB2312" w:asciiTheme="minorEastAsia" w:hAnsiTheme="minorEastAsia"/>
                <w:szCs w:val="21"/>
                <w:u w:val="single"/>
              </w:rPr>
              <w:t>202</w:t>
            </w:r>
            <w:r>
              <w:rPr>
                <w:rFonts w:hint="eastAsia" w:cs="仿宋_GB2312" w:asciiTheme="minorEastAsia" w:hAnsiTheme="minorEastAsia"/>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szCs w:val="21"/>
                <w:u w:val="single"/>
                <w:lang w:val="en-US" w:eastAsia="zh-CN"/>
              </w:rPr>
              <w:t>2</w:t>
            </w:r>
            <w:r>
              <w:rPr>
                <w:rFonts w:hint="eastAsia" w:cs="仿宋_GB2312" w:asciiTheme="minorEastAsia" w:hAnsiTheme="minorEastAsia"/>
                <w:szCs w:val="21"/>
              </w:rPr>
              <w:t>月</w:t>
            </w:r>
            <w:r>
              <w:rPr>
                <w:rFonts w:hint="eastAsia" w:cs="仿宋_GB2312" w:asciiTheme="minorEastAsia" w:hAnsiTheme="minorEastAsia"/>
                <w:szCs w:val="21"/>
                <w:u w:val="single"/>
                <w:lang w:val="en-US" w:eastAsia="zh-CN"/>
              </w:rPr>
              <w:t>20</w:t>
            </w:r>
            <w:r>
              <w:rPr>
                <w:rFonts w:hint="eastAsia" w:cs="仿宋_GB2312" w:asciiTheme="minorEastAsia" w:hAnsiTheme="minorEastAsia"/>
                <w:szCs w:val="21"/>
              </w:rPr>
              <w:t>日前缴纳投标保证金：人民币</w:t>
            </w:r>
            <w:r>
              <w:rPr>
                <w:rFonts w:hint="eastAsia" w:cs="仿宋_GB2312" w:asciiTheme="minorEastAsia" w:hAnsiTheme="minorEastAsia"/>
                <w:szCs w:val="21"/>
                <w:u w:val="single"/>
              </w:rPr>
              <w:t>¥</w:t>
            </w:r>
            <w:r>
              <w:rPr>
                <w:rFonts w:hint="eastAsia" w:cs="仿宋_GB2312" w:asciiTheme="minorEastAsia" w:hAnsiTheme="minorEastAsia"/>
                <w:szCs w:val="21"/>
                <w:u w:val="single"/>
                <w:lang w:val="en-US" w:eastAsia="zh-CN"/>
              </w:rPr>
              <w:t>4</w:t>
            </w:r>
            <w:r>
              <w:rPr>
                <w:rFonts w:cs="仿宋_GB2312" w:asciiTheme="minorEastAsia" w:hAnsiTheme="minorEastAsia"/>
                <w:szCs w:val="21"/>
                <w:u w:val="single"/>
              </w:rPr>
              <w:t>000</w:t>
            </w:r>
            <w:r>
              <w:rPr>
                <w:rFonts w:hint="eastAsia" w:cs="仿宋_GB2312" w:asciiTheme="minorEastAsia" w:hAnsiTheme="minorEastAsia"/>
                <w:szCs w:val="21"/>
              </w:rPr>
              <w:t>元（大写：</w:t>
            </w:r>
            <w:r>
              <w:rPr>
                <w:rFonts w:hint="eastAsia" w:cs="仿宋_GB2312" w:asciiTheme="minorEastAsia" w:hAnsiTheme="minorEastAsia"/>
                <w:szCs w:val="21"/>
                <w:lang w:val="en-US" w:eastAsia="zh-CN"/>
              </w:rPr>
              <w:t>肆仟</w:t>
            </w:r>
            <w:r>
              <w:rPr>
                <w:rFonts w:hint="eastAsia" w:cs="仿宋_GB2312" w:asciiTheme="minorEastAsia" w:hAnsiTheme="minorEastAsia"/>
                <w:szCs w:val="21"/>
              </w:rPr>
              <w:t>元整）</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以转帐方式交至以下帐户：</w:t>
            </w:r>
          </w:p>
          <w:p>
            <w:pPr>
              <w:snapToGrid w:val="0"/>
              <w:spacing w:line="240" w:lineRule="atLeast"/>
              <w:rPr>
                <w:rFonts w:ascii="宋体" w:hAnsi="宋体" w:eastAsia="宋体" w:cs="仿宋_GB2312"/>
                <w:szCs w:val="21"/>
              </w:rPr>
            </w:pPr>
            <w:r>
              <w:rPr>
                <w:rFonts w:hint="eastAsia" w:ascii="宋体" w:hAnsi="宋体" w:eastAsia="宋体" w:cs="仿宋_GB2312"/>
                <w:szCs w:val="21"/>
              </w:rPr>
              <w:t>收款人：中粮（唐山）糖业有限公司</w:t>
            </w:r>
          </w:p>
          <w:p>
            <w:pPr>
              <w:snapToGrid w:val="0"/>
              <w:spacing w:line="240" w:lineRule="atLeast"/>
              <w:rPr>
                <w:rFonts w:ascii="宋体" w:hAnsi="宋体" w:eastAsia="宋体" w:cs="仿宋_GB2312"/>
                <w:szCs w:val="21"/>
              </w:rPr>
            </w:pPr>
            <w:r>
              <w:rPr>
                <w:rFonts w:hint="eastAsia" w:ascii="宋体" w:hAnsi="宋体" w:eastAsia="宋体" w:cs="仿宋_GB2312"/>
                <w:szCs w:val="21"/>
              </w:rPr>
              <w:t>开户行：中国建设银行股份有限公司唐山曹妃甸自贸区支行</w:t>
            </w:r>
          </w:p>
          <w:p>
            <w:pPr>
              <w:snapToGrid w:val="0"/>
              <w:spacing w:line="240" w:lineRule="atLeast"/>
              <w:rPr>
                <w:rFonts w:ascii="宋体" w:hAnsi="宋体" w:eastAsia="宋体" w:cs="仿宋_GB2312"/>
                <w:szCs w:val="21"/>
              </w:rPr>
            </w:pPr>
            <w:r>
              <w:rPr>
                <w:rFonts w:hint="eastAsia" w:ascii="宋体" w:hAnsi="宋体" w:eastAsia="宋体" w:cs="仿宋_GB2312"/>
                <w:szCs w:val="21"/>
              </w:rPr>
              <w:t>行号：</w:t>
            </w:r>
            <w:r>
              <w:rPr>
                <w:rFonts w:ascii="宋体" w:hAnsi="宋体" w:eastAsia="宋体" w:cs="仿宋_GB2312"/>
                <w:szCs w:val="21"/>
              </w:rPr>
              <w:t>105125100039</w:t>
            </w:r>
          </w:p>
          <w:p>
            <w:pPr>
              <w:snapToGrid w:val="0"/>
              <w:spacing w:line="240" w:lineRule="atLeast"/>
              <w:rPr>
                <w:rFonts w:ascii="宋体" w:hAnsi="宋体" w:eastAsia="宋体" w:cs="仿宋_GB2312"/>
                <w:szCs w:val="21"/>
              </w:rPr>
            </w:pPr>
            <w:r>
              <w:rPr>
                <w:rFonts w:hint="eastAsia" w:ascii="宋体" w:hAnsi="宋体" w:eastAsia="宋体" w:cs="仿宋_GB2312"/>
                <w:szCs w:val="21"/>
              </w:rPr>
              <w:t>银行账号：</w:t>
            </w:r>
            <w:r>
              <w:rPr>
                <w:rFonts w:ascii="宋体" w:hAnsi="宋体" w:eastAsia="宋体" w:cs="仿宋_GB2312"/>
                <w:szCs w:val="21"/>
              </w:rPr>
              <w:t>13001624101052503146</w:t>
            </w:r>
          </w:p>
          <w:p>
            <w:pPr>
              <w:snapToGrid w:val="0"/>
              <w:spacing w:line="240" w:lineRule="atLeast"/>
              <w:rPr>
                <w:rFonts w:ascii="宋体" w:hAnsi="宋体" w:eastAsia="宋体" w:cs="仿宋_GB2312"/>
                <w:szCs w:val="21"/>
              </w:rPr>
            </w:pPr>
            <w:r>
              <w:rPr>
                <w:rFonts w:hint="eastAsia" w:ascii="宋体" w:hAnsi="宋体" w:eastAsia="宋体" w:cs="仿宋_GB2312"/>
                <w:szCs w:val="21"/>
              </w:rPr>
              <w:t>中标单位需在中标通知书公布三个工作日内缴纳</w:t>
            </w:r>
            <w:r>
              <w:rPr>
                <w:rFonts w:hint="eastAsia" w:ascii="宋体" w:hAnsi="宋体" w:eastAsia="宋体" w:cs="仿宋_GB2312"/>
                <w:szCs w:val="21"/>
                <w:lang w:val="en-US" w:eastAsia="zh-CN"/>
              </w:rPr>
              <w:t>20000元（贰万元整）</w:t>
            </w:r>
            <w:r>
              <w:rPr>
                <w:rFonts w:hint="eastAsia" w:ascii="宋体" w:hAnsi="宋体" w:eastAsia="宋体" w:cs="仿宋_GB2312"/>
                <w:szCs w:val="21"/>
              </w:rPr>
              <w:t>履约保证金</w:t>
            </w:r>
            <w:r>
              <w:rPr>
                <w:rFonts w:hint="eastAsia" w:ascii="宋体" w:hAnsi="宋体" w:eastAsia="宋体" w:cs="仿宋_GB2312"/>
                <w:szCs w:val="21"/>
                <w:lang w:val="en-US" w:eastAsia="zh-CN"/>
              </w:rPr>
              <w:t>或履约保函（中粮糖业可接受保函开具银行清单范围内）</w:t>
            </w:r>
            <w:r>
              <w:rPr>
                <w:rFonts w:hint="eastAsia" w:ascii="宋体" w:hAnsi="宋体" w:eastAsia="宋体" w:cs="仿宋_GB2312"/>
                <w:szCs w:val="21"/>
              </w:rPr>
              <w:t>，</w:t>
            </w:r>
            <w:r>
              <w:rPr>
                <w:rFonts w:hint="eastAsia" w:ascii="宋体" w:hAnsi="宋体" w:eastAsia="宋体" w:cs="仿宋_GB2312"/>
                <w:szCs w:val="21"/>
                <w:lang w:val="en-US" w:eastAsia="zh-CN"/>
              </w:rPr>
              <w:t>投标保证金可转为履约保证金，并补足差额；</w:t>
            </w:r>
            <w:r>
              <w:rPr>
                <w:rFonts w:hint="eastAsia" w:ascii="宋体" w:hAnsi="宋体" w:eastAsia="宋体" w:cs="仿宋_GB2312"/>
                <w:szCs w:val="21"/>
              </w:rPr>
              <w:t>未按时缴纳履约保证</w:t>
            </w:r>
            <w:bookmarkStart w:id="11" w:name="_GoBack"/>
            <w:bookmarkEnd w:id="11"/>
            <w:r>
              <w:rPr>
                <w:rFonts w:hint="eastAsia" w:ascii="宋体" w:hAnsi="宋体" w:eastAsia="宋体" w:cs="仿宋_GB2312"/>
                <w:szCs w:val="21"/>
              </w:rPr>
              <w:t>金的，视为拒绝签订合同，将不予退还投标保证金。</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谈判报价前意向供应商的保证金未交付或交付错误的不具报价资格。（采购业务根据需要可收取一定金额的投标保证金，履约保证金。投标保证金不得超过采购项目预算2</w:t>
            </w:r>
            <w:r>
              <w:rPr>
                <w:rFonts w:cs="仿宋_GB2312" w:asciiTheme="minorEastAsia" w:hAnsiTheme="minorEastAsia"/>
                <w:szCs w:val="21"/>
              </w:rPr>
              <w:t>%</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万元人民币；履约保证金不得超过中标合同金额的1</w:t>
            </w:r>
            <w:r>
              <w:rPr>
                <w:rFonts w:cs="仿宋_GB2312" w:asciiTheme="minorEastAsia" w:hAnsiTheme="minorEastAsia"/>
                <w:szCs w:val="21"/>
              </w:rPr>
              <w:t>0%</w:t>
            </w:r>
            <w:r>
              <w:rPr>
                <w:rFonts w:hint="eastAsia" w:cs="仿宋_GB2312" w:asciiTheme="minorEastAsia" w:hAnsiTheme="minorEastAsia"/>
                <w:szCs w:val="21"/>
              </w:rPr>
              <w:t>，为防范管理风险，对物流类采购，可在双方协商一致的基础上提高投标保证金的缴纳比例，不得超过采购项目预算的1</w:t>
            </w:r>
            <w:r>
              <w:rPr>
                <w:rFonts w:cs="仿宋_GB2312" w:asciiTheme="minorEastAsia" w:hAnsiTheme="minorEastAsia"/>
                <w:szCs w:val="21"/>
              </w:rPr>
              <w:t>0%</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投标保证金和履约保证金缴纳方式主要是转账支票、电汇、现金。用其他方式缴纳必须由所在财务部门确认。收取投标保证金的需在采购文件中明确管理要求，收取履约保证金的应当在采购合同中明确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退还投标保证金</w:t>
            </w:r>
          </w:p>
        </w:tc>
        <w:tc>
          <w:tcPr>
            <w:tcW w:w="7910" w:type="dxa"/>
          </w:tcPr>
          <w:p>
            <w:pPr>
              <w:snapToGrid w:val="0"/>
              <w:spacing w:line="240" w:lineRule="atLeast"/>
              <w:ind w:firstLine="420" w:firstLineChars="200"/>
              <w:rPr>
                <w:rFonts w:cs="仿宋_GB2312" w:asciiTheme="minorEastAsia" w:hAnsiTheme="minorEastAsia"/>
                <w:szCs w:val="21"/>
              </w:rPr>
            </w:pPr>
            <w:r>
              <w:rPr>
                <w:rFonts w:hint="eastAsia" w:cs="仿宋_GB2312" w:asciiTheme="minorEastAsia" w:hAnsiTheme="minorEastAsia"/>
                <w:szCs w:val="21"/>
              </w:rPr>
              <w:t>公布最终谈判结果后，</w:t>
            </w:r>
            <w:r>
              <w:rPr>
                <w:rFonts w:hint="eastAsia" w:cs="仿宋_GB2312" w:asciiTheme="minorEastAsia" w:hAnsiTheme="minorEastAsia"/>
                <w:b/>
                <w:bCs/>
                <w:szCs w:val="21"/>
              </w:rPr>
              <w:t>招标人将在次月退还</w:t>
            </w:r>
            <w:r>
              <w:rPr>
                <w:rFonts w:hint="eastAsia" w:cs="仿宋_GB2312" w:asciiTheme="minorEastAsia" w:hAnsiTheme="minorEastAsia"/>
                <w:b/>
                <w:bCs/>
                <w:szCs w:val="21"/>
                <w:lang w:val="en-US" w:eastAsia="zh-CN"/>
              </w:rPr>
              <w:t>未中标单位</w:t>
            </w:r>
            <w:r>
              <w:rPr>
                <w:rFonts w:hint="eastAsia" w:cs="仿宋_GB2312" w:asciiTheme="minorEastAsia" w:hAnsiTheme="minorEastAsia"/>
                <w:b/>
                <w:bCs/>
                <w:szCs w:val="21"/>
              </w:rPr>
              <w:t>投标保证金</w:t>
            </w:r>
            <w:r>
              <w:rPr>
                <w:rFonts w:cs="仿宋_GB2312" w:asciiTheme="minorEastAsia" w:hAnsi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不退回投标保证金的其他情形</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提供虚假材料谋取中标、成交的；在响应本次采购中存在围标串标等违法违规行为的；</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中标后，无正当理由拒绝签订合同的。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6</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谈判文件发布及报名截止时间</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谈判文件发放方式：中粮糖业EPS采购平台发布；</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谈判文件发出时间：</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b/>
                <w:bCs/>
                <w:szCs w:val="21"/>
                <w:u w:val="single"/>
                <w:lang w:val="en-US" w:eastAsia="zh-CN"/>
              </w:rPr>
              <w:t>2</w:t>
            </w:r>
            <w:r>
              <w:rPr>
                <w:rFonts w:hint="eastAsia" w:cs="仿宋_GB2312" w:asciiTheme="minorEastAsia" w:hAnsiTheme="minorEastAsia"/>
                <w:szCs w:val="21"/>
              </w:rPr>
              <w:t>月</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18</w:t>
            </w:r>
            <w:r>
              <w:rPr>
                <w:rFonts w:cs="仿宋_GB2312" w:asciiTheme="minorEastAsia" w:hAnsiTheme="minorEastAsia"/>
                <w:b/>
                <w:bCs/>
                <w:szCs w:val="21"/>
                <w:u w:val="single"/>
              </w:rPr>
              <w:t xml:space="preserve"> </w:t>
            </w:r>
            <w:r>
              <w:rPr>
                <w:rFonts w:hint="eastAsia" w:cs="仿宋_GB2312" w:asciiTheme="minorEastAsia" w:hAnsiTheme="minorEastAsia"/>
                <w:szCs w:val="21"/>
              </w:rPr>
              <w:t>日</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请投标单位于</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b/>
                <w:bCs/>
                <w:szCs w:val="21"/>
                <w:u w:val="single"/>
                <w:lang w:val="en-US" w:eastAsia="zh-CN"/>
              </w:rPr>
              <w:t>2</w:t>
            </w:r>
            <w:r>
              <w:rPr>
                <w:rFonts w:hint="eastAsia" w:cs="仿宋_GB2312" w:asciiTheme="minorEastAsia" w:hAnsiTheme="minorEastAsia"/>
                <w:szCs w:val="21"/>
              </w:rPr>
              <w:t>月</w:t>
            </w:r>
            <w:r>
              <w:rPr>
                <w:rFonts w:cs="仿宋_GB2312" w:asciiTheme="minorEastAsia" w:hAnsiTheme="minorEastAsia"/>
                <w:b/>
                <w:szCs w:val="21"/>
                <w:u w:val="single"/>
              </w:rPr>
              <w:t xml:space="preserve"> </w:t>
            </w:r>
            <w:r>
              <w:rPr>
                <w:rFonts w:hint="eastAsia" w:cs="仿宋_GB2312" w:asciiTheme="minorEastAsia" w:hAnsiTheme="minorEastAsia"/>
                <w:b/>
                <w:szCs w:val="21"/>
                <w:u w:val="single"/>
                <w:lang w:val="en-US" w:eastAsia="zh-CN"/>
              </w:rPr>
              <w:t>20</w:t>
            </w:r>
            <w:r>
              <w:rPr>
                <w:rFonts w:cs="仿宋_GB2312" w:asciiTheme="minorEastAsia" w:hAnsiTheme="minorEastAsia"/>
                <w:b/>
                <w:szCs w:val="21"/>
                <w:u w:val="single"/>
              </w:rPr>
              <w:t xml:space="preserve"> </w:t>
            </w:r>
            <w:r>
              <w:rPr>
                <w:rFonts w:hint="eastAsia" w:cs="仿宋_GB2312" w:asciiTheme="minorEastAsia" w:hAnsiTheme="minorEastAsia"/>
                <w:szCs w:val="21"/>
              </w:rPr>
              <w:t>日前完成报名。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7</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谈判文件发布要求</w:t>
            </w:r>
          </w:p>
        </w:tc>
        <w:tc>
          <w:tcPr>
            <w:tcW w:w="7910" w:type="dxa"/>
          </w:tcPr>
          <w:p>
            <w:pPr>
              <w:spacing w:line="240" w:lineRule="atLeast"/>
              <w:rPr>
                <w:rFonts w:cs="仿宋_GB2312"/>
                <w:szCs w:val="21"/>
              </w:rPr>
            </w:pPr>
            <w:r>
              <w:rPr>
                <w:rFonts w:hint="eastAsia" w:cs="仿宋_GB2312"/>
                <w:szCs w:val="21"/>
              </w:rPr>
              <w:t>请仔细检查招标文件是否齐全，如有缺漏，请立即与招标人联系解决。</w:t>
            </w:r>
          </w:p>
          <w:p>
            <w:pPr>
              <w:numPr>
                <w:ilvl w:val="255"/>
                <w:numId w:val="0"/>
              </w:numPr>
              <w:tabs>
                <w:tab w:val="left" w:pos="540"/>
              </w:tabs>
              <w:spacing w:line="240" w:lineRule="atLeast"/>
              <w:rPr>
                <w:rFonts w:cs="仿宋_GB2312"/>
                <w:szCs w:val="21"/>
              </w:rPr>
            </w:pPr>
            <w:r>
              <w:rPr>
                <w:rFonts w:cs="仿宋_GB2312"/>
                <w:szCs w:val="21"/>
              </w:rPr>
              <w:t>1.</w:t>
            </w:r>
            <w:r>
              <w:rPr>
                <w:rFonts w:hint="eastAsia" w:cs="仿宋_GB2312"/>
                <w:szCs w:val="21"/>
              </w:rPr>
              <w:t>投标人被视为充分熟悉本采购项目所在地的与履行合同有关的各种情况，本招标文件不再对上述情况进行描述。</w:t>
            </w:r>
          </w:p>
          <w:p>
            <w:pPr>
              <w:numPr>
                <w:ilvl w:val="255"/>
                <w:numId w:val="0"/>
              </w:numPr>
              <w:tabs>
                <w:tab w:val="left" w:pos="540"/>
              </w:tabs>
              <w:spacing w:line="240" w:lineRule="atLeast"/>
              <w:rPr>
                <w:rFonts w:cs="仿宋_GB2312"/>
                <w:szCs w:val="21"/>
              </w:rPr>
            </w:pPr>
            <w:r>
              <w:rPr>
                <w:rFonts w:cs="仿宋_GB2312"/>
                <w:szCs w:val="21"/>
              </w:rPr>
              <w:t>2.</w:t>
            </w:r>
            <w:r>
              <w:rPr>
                <w:rFonts w:hint="eastAsia" w:cs="仿宋_GB2312"/>
                <w:szCs w:val="21"/>
              </w:rPr>
              <w:t>投标人必须详阅招标文件的所有条款、文件及表格格式。如果投标人的投标文件因自身的疏忽、遗漏不能满足本招标文件的要求,责任由投标人自负。招标人有权拒绝没有实质上响应招标文件要求的投标文件。</w:t>
            </w:r>
          </w:p>
          <w:p>
            <w:pPr>
              <w:numPr>
                <w:ilvl w:val="255"/>
                <w:numId w:val="0"/>
              </w:numPr>
              <w:spacing w:line="240" w:lineRule="atLeast"/>
              <w:rPr>
                <w:rFonts w:cs="仿宋_GB2312"/>
                <w:szCs w:val="21"/>
              </w:rPr>
            </w:pPr>
            <w:r>
              <w:rPr>
                <w:rFonts w:cs="仿宋_GB2312"/>
                <w:szCs w:val="21"/>
              </w:rPr>
              <w:t>3.</w:t>
            </w:r>
            <w:r>
              <w:rPr>
                <w:rFonts w:hint="eastAsia" w:cs="仿宋_GB2312"/>
                <w:szCs w:val="21"/>
              </w:rPr>
              <w:t>招标文件的解释</w:t>
            </w:r>
          </w:p>
          <w:p>
            <w:pPr>
              <w:numPr>
                <w:ilvl w:val="255"/>
                <w:numId w:val="0"/>
              </w:numPr>
              <w:spacing w:line="240" w:lineRule="atLeast"/>
              <w:ind w:firstLine="420" w:firstLineChars="200"/>
              <w:rPr>
                <w:rFonts w:cs="仿宋_GB2312"/>
                <w:b/>
                <w:bCs/>
                <w:szCs w:val="21"/>
              </w:rPr>
            </w:pPr>
            <w:r>
              <w:rPr>
                <w:rFonts w:hint="eastAsia" w:cs="仿宋_GB2312"/>
                <w:szCs w:val="21"/>
              </w:rPr>
              <w:t>如投标人对招标文件有任何疑问，请以电话或电子邮件形式向招标人在此招标文件上列明的联系人询问，不得向其他单位或个人提出任何查询 (除非已经得到招标人的书面同意)。答疑的截止日期在投标截止日期前1天截止，逾期将不予回复。</w:t>
            </w:r>
          </w:p>
          <w:p>
            <w:pPr>
              <w:numPr>
                <w:ilvl w:val="255"/>
                <w:numId w:val="0"/>
              </w:numPr>
              <w:spacing w:line="240" w:lineRule="atLeast"/>
              <w:rPr>
                <w:rFonts w:cs="仿宋_GB2312"/>
                <w:szCs w:val="21"/>
              </w:rPr>
            </w:pPr>
            <w:r>
              <w:rPr>
                <w:rFonts w:cs="仿宋_GB2312"/>
                <w:szCs w:val="21"/>
              </w:rPr>
              <w:t>4.</w:t>
            </w:r>
            <w:r>
              <w:rPr>
                <w:rFonts w:hint="eastAsia" w:cs="仿宋_GB2312"/>
                <w:szCs w:val="21"/>
              </w:rPr>
              <w:t>招标文件的补充</w:t>
            </w:r>
          </w:p>
          <w:p>
            <w:pPr>
              <w:numPr>
                <w:ilvl w:val="255"/>
                <w:numId w:val="0"/>
              </w:numPr>
              <w:tabs>
                <w:tab w:val="left" w:pos="540"/>
              </w:tabs>
              <w:spacing w:line="240" w:lineRule="atLeast"/>
              <w:rPr>
                <w:rFonts w:cs="仿宋_GB2312"/>
                <w:b/>
                <w:bCs/>
                <w:szCs w:val="21"/>
              </w:rPr>
            </w:pPr>
            <w:r>
              <w:rPr>
                <w:rFonts w:cs="仿宋_GB2312"/>
                <w:szCs w:val="21"/>
              </w:rPr>
              <w:t>4.1</w:t>
            </w:r>
            <w:r>
              <w:rPr>
                <w:rFonts w:hint="eastAsia" w:cs="仿宋_GB2312"/>
                <w:szCs w:val="21"/>
              </w:rPr>
              <w:t>在组织招标时间之前，招标人可以根据需要对招标文件用补充文件的方式进行修正。</w:t>
            </w:r>
          </w:p>
          <w:p>
            <w:pPr>
              <w:numPr>
                <w:ilvl w:val="255"/>
                <w:numId w:val="0"/>
              </w:numPr>
              <w:tabs>
                <w:tab w:val="left" w:pos="540"/>
              </w:tabs>
              <w:spacing w:line="240" w:lineRule="atLeast"/>
              <w:rPr>
                <w:rFonts w:cs="仿宋_GB2312"/>
                <w:b/>
                <w:bCs/>
                <w:szCs w:val="21"/>
              </w:rPr>
            </w:pPr>
            <w:r>
              <w:rPr>
                <w:rFonts w:cs="仿宋_GB2312"/>
                <w:szCs w:val="21"/>
              </w:rPr>
              <w:t>4.2</w:t>
            </w:r>
            <w:r>
              <w:rPr>
                <w:rFonts w:hint="eastAsia" w:cs="仿宋_GB2312"/>
                <w:szCs w:val="21"/>
              </w:rPr>
              <w:t xml:space="preserve"> 对招标文件的补充，应以书面形式通知所有投标人。补充文件将作为招标文件的组成部分，对所有投标人有约束力。</w:t>
            </w:r>
          </w:p>
          <w:p>
            <w:pPr>
              <w:snapToGrid w:val="0"/>
              <w:spacing w:line="240" w:lineRule="atLeast"/>
              <w:rPr>
                <w:rFonts w:cs="仿宋_GB2312" w:asciiTheme="minorEastAsia" w:hAnsiTheme="minorEastAsia"/>
                <w:szCs w:val="21"/>
              </w:rPr>
            </w:pPr>
            <w:r>
              <w:rPr>
                <w:rFonts w:cs="仿宋_GB2312"/>
                <w:szCs w:val="21"/>
              </w:rPr>
              <w:t>4.3</w:t>
            </w:r>
            <w:r>
              <w:rPr>
                <w:rFonts w:hint="eastAsia" w:cs="仿宋_GB2312"/>
                <w:szCs w:val="21"/>
              </w:rPr>
              <w:t>为使投标人有足够的时间按招标文件的补充要求修正投标文件，招标人有权决定推迟招标采购的组织招标时间，并将此变更书面通知所有投标人。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8</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开标时间及响应文件提交</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开标时间为</w:t>
            </w:r>
            <w:r>
              <w:rPr>
                <w:rFonts w:cs="仿宋_GB2312" w:asciiTheme="minorEastAsia" w:hAnsiTheme="minorEastAsia"/>
                <w:b/>
                <w:bCs/>
                <w:szCs w:val="21"/>
                <w:u w:val="single"/>
              </w:rPr>
              <w:t>2024</w:t>
            </w:r>
            <w:r>
              <w:rPr>
                <w:rFonts w:hint="eastAsia" w:cs="仿宋_GB2312" w:asciiTheme="minorEastAsia" w:hAnsiTheme="minorEastAsia"/>
                <w:szCs w:val="21"/>
              </w:rPr>
              <w:t>年</w:t>
            </w:r>
            <w:r>
              <w:rPr>
                <w:rFonts w:cs="仿宋_GB2312" w:asciiTheme="minorEastAsia" w:hAnsiTheme="minorEastAsia"/>
                <w:b/>
                <w:bCs/>
                <w:szCs w:val="21"/>
                <w:u w:val="single"/>
              </w:rPr>
              <w:t>0</w:t>
            </w:r>
            <w:r>
              <w:rPr>
                <w:rFonts w:hint="eastAsia" w:cs="仿宋_GB2312" w:asciiTheme="minorEastAsia" w:hAnsiTheme="minorEastAsia"/>
                <w:b/>
                <w:bCs/>
                <w:szCs w:val="21"/>
                <w:u w:val="single"/>
                <w:lang w:val="en-US" w:eastAsia="zh-CN"/>
              </w:rPr>
              <w:t>2</w:t>
            </w:r>
            <w:r>
              <w:rPr>
                <w:rFonts w:hint="eastAsia" w:cs="仿宋_GB2312" w:asciiTheme="minorEastAsia" w:hAnsiTheme="minorEastAsia"/>
                <w:szCs w:val="21"/>
              </w:rPr>
              <w:t>月</w:t>
            </w:r>
            <w:r>
              <w:rPr>
                <w:rFonts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23</w:t>
            </w:r>
            <w:r>
              <w:rPr>
                <w:rFonts w:cs="仿宋_GB2312" w:asciiTheme="minorEastAsia" w:hAnsiTheme="minorEastAsia"/>
                <w:szCs w:val="21"/>
                <w:u w:val="single"/>
              </w:rPr>
              <w:t xml:space="preserve"> </w:t>
            </w:r>
            <w:r>
              <w:rPr>
                <w:rFonts w:hint="eastAsia" w:cs="仿宋_GB2312" w:asciiTheme="minorEastAsia" w:hAnsiTheme="minorEastAsia"/>
                <w:szCs w:val="21"/>
              </w:rPr>
              <w:t>日</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13</w:t>
            </w:r>
            <w:r>
              <w:rPr>
                <w:rFonts w:cs="仿宋_GB2312" w:asciiTheme="minorEastAsia" w:hAnsiTheme="minorEastAsia"/>
                <w:b/>
                <w:bCs/>
                <w:szCs w:val="21"/>
                <w:u w:val="single"/>
              </w:rPr>
              <w:t xml:space="preserve"> </w:t>
            </w:r>
            <w:r>
              <w:rPr>
                <w:rFonts w:hint="eastAsia" w:cs="仿宋_GB2312" w:asciiTheme="minorEastAsia" w:hAnsiTheme="minorEastAsia"/>
                <w:szCs w:val="21"/>
              </w:rPr>
              <w:t>时</w:t>
            </w:r>
            <w:r>
              <w:rPr>
                <w:rFonts w:hint="eastAsia"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00</w:t>
            </w:r>
            <w:r>
              <w:rPr>
                <w:rFonts w:cs="仿宋_GB2312" w:asciiTheme="minorEastAsia" w:hAnsiTheme="minorEastAsia"/>
                <w:szCs w:val="21"/>
                <w:u w:val="single"/>
              </w:rPr>
              <w:t xml:space="preserve"> </w:t>
            </w:r>
            <w:r>
              <w:rPr>
                <w:rFonts w:hint="eastAsia" w:cs="仿宋_GB2312" w:asciiTheme="minorEastAsia" w:hAnsiTheme="minorEastAsia"/>
                <w:szCs w:val="21"/>
              </w:rPr>
              <w:t>分；</w:t>
            </w:r>
          </w:p>
          <w:p>
            <w:pPr>
              <w:snapToGrid w:val="0"/>
              <w:spacing w:line="240" w:lineRule="atLeast"/>
              <w:rPr>
                <w:rFonts w:asciiTheme="minorEastAsia" w:hAnsiTheme="minorEastAsia"/>
                <w:szCs w:val="21"/>
              </w:rPr>
            </w:pPr>
            <w:r>
              <w:rPr>
                <w:rFonts w:hint="eastAsia" w:cs="仿宋_GB2312" w:asciiTheme="minorEastAsia" w:hAnsiTheme="minorEastAsia"/>
                <w:szCs w:val="21"/>
              </w:rPr>
              <w:t>参加谈判的投标人需要在开标前完成报价，并</w:t>
            </w:r>
            <w:r>
              <w:rPr>
                <w:rFonts w:hint="eastAsia" w:asciiTheme="minorEastAsia" w:hAnsiTheme="minorEastAsia"/>
                <w:szCs w:val="21"/>
              </w:rPr>
              <w:t>把谈判响应文件填写完整并加盖公章后，</w:t>
            </w:r>
            <w:r>
              <w:rPr>
                <w:rFonts w:hint="eastAsia" w:cs="仿宋_GB2312" w:asciiTheme="minorEastAsia" w:hAnsiTheme="minorEastAsia"/>
                <w:szCs w:val="21"/>
              </w:rPr>
              <w:t>在E</w:t>
            </w:r>
            <w:r>
              <w:rPr>
                <w:rFonts w:cs="仿宋_GB2312" w:asciiTheme="minorEastAsia" w:hAnsiTheme="minorEastAsia"/>
                <w:szCs w:val="21"/>
              </w:rPr>
              <w:t>PS</w:t>
            </w:r>
            <w:r>
              <w:rPr>
                <w:rFonts w:hint="eastAsia" w:cs="仿宋_GB2312" w:asciiTheme="minorEastAsia" w:hAnsiTheme="minorEastAsia"/>
                <w:szCs w:val="21"/>
              </w:rPr>
              <w:t>系统中上传，</w:t>
            </w:r>
            <w:r>
              <w:rPr>
                <w:rFonts w:hint="eastAsia" w:asciiTheme="minorEastAsia" w:hAnsiTheme="minorEastAsia"/>
                <w:szCs w:val="21"/>
              </w:rPr>
              <w:t>上传文件只接受原件扫描件，不接受电子签，复印件为无效资料。</w:t>
            </w:r>
          </w:p>
          <w:p>
            <w:pPr>
              <w:snapToGrid w:val="0"/>
              <w:spacing w:line="240" w:lineRule="atLeast"/>
              <w:rPr>
                <w:rFonts w:asciiTheme="minorEastAsia" w:hAnsiTheme="minorEastAsia"/>
                <w:szCs w:val="21"/>
              </w:rPr>
            </w:pPr>
            <w:r>
              <w:rPr>
                <w:rFonts w:hint="eastAsia" w:asciiTheme="minorEastAsia" w:hAnsiTheme="minorEastAsia"/>
                <w:bCs/>
                <w:szCs w:val="21"/>
              </w:rPr>
              <w:t>本项目采用“综合评审法”，详见第四章《评审办法》，评审方法中需要提供的评审要件包括但不限于为：“资信证明、“企业业绩”</w:t>
            </w:r>
            <w:r>
              <w:rPr>
                <w:rFonts w:asciiTheme="minorEastAsia" w:hAnsiTheme="minorEastAsia"/>
                <w:bCs/>
                <w:szCs w:val="21"/>
              </w:rPr>
              <w:t xml:space="preserve"> </w:t>
            </w:r>
            <w:r>
              <w:rPr>
                <w:rFonts w:hint="eastAsia" w:asciiTheme="minorEastAsia" w:hAnsiTheme="minorEastAsia"/>
                <w:bCs/>
                <w:szCs w:val="21"/>
              </w:rPr>
              <w:t>、“</w:t>
            </w:r>
            <w:r>
              <w:rPr>
                <w:rFonts w:hint="eastAsia" w:ascii="宋体" w:hAnsi="宋体" w:eastAsia="宋体" w:cs="宋体"/>
                <w:bCs/>
                <w:kern w:val="0"/>
                <w:szCs w:val="21"/>
              </w:rPr>
              <w:t>现场服务管理能力</w:t>
            </w:r>
            <w:r>
              <w:rPr>
                <w:rFonts w:hint="eastAsia" w:asciiTheme="minorEastAsia" w:hAnsiTheme="minorEastAsia"/>
                <w:bCs/>
                <w:szCs w:val="21"/>
              </w:rPr>
              <w:t>”、“人员配置”、“</w:t>
            </w:r>
            <w:r>
              <w:rPr>
                <w:rFonts w:hint="eastAsia" w:ascii="宋体" w:hAnsi="宋体" w:eastAsia="宋体" w:cs="宋体"/>
                <w:bCs/>
                <w:szCs w:val="21"/>
              </w:rPr>
              <w:t>应急响应处置方案</w:t>
            </w:r>
            <w:r>
              <w:rPr>
                <w:rFonts w:hint="eastAsia" w:asciiTheme="minorEastAsia" w:hAnsiTheme="minorEastAsia"/>
                <w:bCs/>
                <w:szCs w:val="21"/>
              </w:rPr>
              <w:t>”、“增值服务”</w:t>
            </w:r>
            <w:r>
              <w:rPr>
                <w:rFonts w:hint="eastAsia" w:asciiTheme="minorEastAsia" w:hAnsiTheme="minorEastAsia"/>
                <w:szCs w:val="21"/>
              </w:rPr>
              <w:t>等。</w:t>
            </w:r>
          </w:p>
          <w:p>
            <w:pPr>
              <w:snapToGrid w:val="0"/>
              <w:spacing w:line="240" w:lineRule="atLeast"/>
              <w:rPr>
                <w:rFonts w:asciiTheme="minorEastAsia" w:hAnsiTheme="minorEastAsia"/>
                <w:szCs w:val="21"/>
              </w:rPr>
            </w:pPr>
            <w:r>
              <w:rPr>
                <w:rFonts w:hint="eastAsia" w:asciiTheme="minorEastAsia" w:hAnsiTheme="minorEastAsia"/>
                <w:bCs/>
                <w:szCs w:val="21"/>
              </w:rPr>
              <w:t>谈判时，供方提供的资料是否充分，将会影响其最终得分。</w:t>
            </w:r>
            <w:r>
              <w:rPr>
                <w:rFonts w:hint="eastAsia" w:cs="仿宋_GB2312" w:asciiTheme="minorEastAsia" w:hAnsiTheme="minorEastAsia"/>
                <w:szCs w:val="21"/>
              </w:rPr>
              <w:t>同时供应商业绩不得造假，一经发现取消投标资格。</w:t>
            </w:r>
            <w:r>
              <w:rPr>
                <w:rFonts w:hint="eastAsia" w:asciiTheme="minorEastAsia" w:hAnsiTheme="minorEastAsia"/>
                <w:szCs w:val="21"/>
              </w:rPr>
              <w:t>在谈判响应截止时间前，响应方未完成响应文件上传工作将被视为放弃响应。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9</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评标方法</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采用综合评标法，详见第四章《评审办法》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20</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谈判地点</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中粮糖业EPS采购平台，腾讯会议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1</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保密原则</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投标人应将所有招标人送出的招标文件包括有关项目资料作为保密文件处理。对于任何违反此规定的投标人的投标文件视为废标。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2</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招标文件约束力</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投标人一旦领取了本招标文件并参加招标，即被认为接受了本招标文件中的所有条件和规定。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3</w:t>
            </w:r>
          </w:p>
        </w:tc>
        <w:tc>
          <w:tcPr>
            <w:tcW w:w="1701" w:type="dxa"/>
          </w:tcPr>
          <w:p>
            <w:pPr>
              <w:jc w:val="left"/>
              <w:rPr>
                <w:rFonts w:cs="仿宋_GB2312" w:asciiTheme="minorEastAsia" w:hAnsiTheme="minorEastAsia"/>
                <w:bCs/>
                <w:szCs w:val="21"/>
              </w:rPr>
            </w:pPr>
            <w:r>
              <w:rPr>
                <w:rFonts w:hint="eastAsia" w:cs="仿宋_GB2312" w:asciiTheme="majorEastAsia" w:hAnsiTheme="majorEastAsia" w:eastAsiaTheme="majorEastAsia"/>
                <w:bCs/>
                <w:szCs w:val="21"/>
              </w:rPr>
              <w:t>谈判文件编制要求</w:t>
            </w:r>
          </w:p>
        </w:tc>
        <w:tc>
          <w:tcPr>
            <w:tcW w:w="7910" w:type="dxa"/>
          </w:tcPr>
          <w:p>
            <w:pPr>
              <w:spacing w:line="240" w:lineRule="atLeast"/>
              <w:rPr>
                <w:rFonts w:asciiTheme="minorEastAsia" w:hAnsiTheme="minorEastAsia"/>
                <w:szCs w:val="21"/>
              </w:rPr>
            </w:pPr>
            <w:r>
              <w:rPr>
                <w:rFonts w:hint="eastAsia" w:asciiTheme="minorEastAsia" w:hAnsiTheme="minorEastAsia"/>
                <w:szCs w:val="21"/>
              </w:rPr>
              <w:t>1.供应商对谈判响应文件应按要求编制。</w:t>
            </w:r>
          </w:p>
          <w:p>
            <w:pPr>
              <w:spacing w:line="240" w:lineRule="atLeast"/>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供应商提交的谈判响应文件以及供应商与采购人就有关谈判的所有来往函电均应使用中文。供应商提交的支持文件和印刷的文献可以使用别的语言，但其相应内容必须附有中文翻译文本，在解释谈判响应文件时以翻译文本为主。</w:t>
            </w:r>
          </w:p>
          <w:p>
            <w:pPr>
              <w:spacing w:line="240" w:lineRule="atLeast"/>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供应商应认真阅读、并充分理解本文件的全部内容（包括所有的补充、修改内容），承诺并履行本文件中各项条款规定及要求。</w:t>
            </w:r>
          </w:p>
          <w:p>
            <w:pPr>
              <w:spacing w:line="240" w:lineRule="atLeast"/>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 谈判响应文件必须按本文件的全部内容，包括所有的补充通知及附件进行编制。</w:t>
            </w:r>
          </w:p>
          <w:p>
            <w:pPr>
              <w:snapToGrid w:val="0"/>
              <w:spacing w:line="240" w:lineRule="atLeast"/>
              <w:rPr>
                <w:rFonts w:cs="仿宋_GB2312" w:asciiTheme="minorEastAsia" w:hAnsiTheme="minorEastAsia"/>
                <w:szCs w:val="21"/>
              </w:rPr>
            </w:pPr>
            <w:r>
              <w:rPr>
                <w:rFonts w:hint="eastAsia" w:asciiTheme="minorEastAsia" w:hAnsiTheme="minorEastAsia"/>
                <w:szCs w:val="21"/>
              </w:rPr>
              <w:t>5</w:t>
            </w:r>
            <w:r>
              <w:rPr>
                <w:rFonts w:asciiTheme="minorEastAsia" w:hAnsiTheme="minorEastAsia"/>
                <w:szCs w:val="21"/>
              </w:rPr>
              <w:t>.</w:t>
            </w:r>
            <w:r>
              <w:rPr>
                <w:rFonts w:hint="eastAsia" w:asciiTheme="minorEastAsia" w:hAnsiTheme="minorEastAsia"/>
                <w:szCs w:val="21"/>
              </w:rPr>
              <w:t>如因供应商只填写和提供了本文件要求的部分内容和附件，而给评审造成困难，其可能导致的结果和责任由供应商自行承担。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报价要求</w:t>
            </w:r>
          </w:p>
        </w:tc>
        <w:tc>
          <w:tcPr>
            <w:tcW w:w="7910" w:type="dxa"/>
          </w:tcPr>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投标人在计算投标报价时应充分考虑可能蕴含的风险因素。投标人可先到工厂踏勘，以充分了解工厂位置、情况、道路、服务区域及任何其他足以影响投标报价的情况，任何因忽视或误解工厂情况而导致的索赔或服务延后申请将不被批准。投标人填报的报价由投标人自行承担全部风险并达到预期的质量要求，中标后除采购文件及服务合同条款规定外，不得以任何理由调整报价或追加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废标原则</w:t>
            </w:r>
          </w:p>
        </w:tc>
        <w:tc>
          <w:tcPr>
            <w:tcW w:w="7910" w:type="dxa"/>
          </w:tcPr>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1.未按规定标志、密封的投标文件；</w:t>
            </w:r>
          </w:p>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2.未经法定或授权代表人签署盖章的投标文件；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3.未提供有效的营业执照、经营业务许可证和税务登记证的投标文件；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4.经审核无投标资格的投标代表递交的投标文件；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5.未按规定格式填写，内容不全或字迹模糊、辨认不清的投标文件；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6.投标截止时间以后送达的投标文件；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7.未完成或部分完成的投标文件；</w:t>
            </w:r>
          </w:p>
          <w:p>
            <w:pPr>
              <w:numPr>
                <w:ilvl w:val="255"/>
                <w:numId w:val="0"/>
              </w:numPr>
              <w:autoSpaceDE w:val="0"/>
              <w:autoSpaceDN w:val="0"/>
              <w:adjustRightInd w:val="0"/>
              <w:spacing w:line="240" w:lineRule="atLeast"/>
              <w:ind w:right="567"/>
              <w:jc w:val="left"/>
              <w:rPr>
                <w:rFonts w:ascii="宋体" w:hAnsi="宋体" w:eastAsia="宋体" w:cs="仿宋_GB2312"/>
                <w:bCs/>
                <w:kern w:val="0"/>
                <w:szCs w:val="21"/>
              </w:rPr>
            </w:pPr>
            <w:r>
              <w:rPr>
                <w:rFonts w:hint="eastAsia" w:ascii="宋体" w:hAnsi="宋体" w:eastAsia="宋体" w:cs="仿宋_GB2312"/>
                <w:kern w:val="0"/>
                <w:szCs w:val="21"/>
              </w:rPr>
              <w:t>8.未交纳投标保证金的</w:t>
            </w:r>
            <w:r>
              <w:rPr>
                <w:rFonts w:hint="eastAsia" w:ascii="宋体" w:hAnsi="宋体" w:eastAsia="宋体" w:cs="仿宋_GB2312"/>
                <w:bCs/>
                <w:kern w:val="0"/>
                <w:szCs w:val="21"/>
              </w:rPr>
              <w:t>投标代表递交的投标文件；</w:t>
            </w:r>
          </w:p>
          <w:p>
            <w:pPr>
              <w:snapToGrid w:val="0"/>
              <w:spacing w:line="240" w:lineRule="atLeast"/>
              <w:rPr>
                <w:rFonts w:ascii="宋体" w:hAnsi="宋体" w:eastAsia="宋体" w:cs="仿宋_GB2312"/>
                <w:b/>
                <w:bCs/>
                <w:szCs w:val="21"/>
              </w:rPr>
            </w:pPr>
            <w:r>
              <w:rPr>
                <w:rFonts w:hint="eastAsia" w:ascii="宋体" w:hAnsi="宋体" w:eastAsia="宋体" w:cs="仿宋_GB2312"/>
                <w:bCs/>
                <w:kern w:val="0"/>
                <w:szCs w:val="21"/>
              </w:rPr>
              <w:t>9.未实质响应本竞争性谈判文件要求的</w:t>
            </w:r>
            <w:r>
              <w:rPr>
                <w:rFonts w:hint="eastAsia" w:ascii="宋体" w:hAnsi="宋体" w:eastAsia="宋体" w:cs="仿宋_GB2312"/>
                <w:kern w:val="0"/>
                <w:szCs w:val="21"/>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6</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中标通知书发布</w:t>
            </w:r>
          </w:p>
        </w:tc>
        <w:tc>
          <w:tcPr>
            <w:tcW w:w="7910" w:type="dxa"/>
          </w:tcPr>
          <w:p>
            <w:pPr>
              <w:snapToGrid w:val="0"/>
              <w:spacing w:line="240" w:lineRule="atLeast"/>
              <w:ind w:firstLine="315" w:firstLineChars="150"/>
              <w:rPr>
                <w:rFonts w:ascii="宋体" w:hAnsi="宋体" w:eastAsia="宋体" w:cs="仿宋_GB2312"/>
                <w:szCs w:val="21"/>
              </w:rPr>
            </w:pPr>
            <w:r>
              <w:rPr>
                <w:rFonts w:hint="eastAsia" w:cs="仿宋_GB2312" w:asciiTheme="minorEastAsia" w:hAnsiTheme="minorEastAsia"/>
                <w:bCs/>
                <w:szCs w:val="21"/>
              </w:rPr>
              <w:t>招标人将在评标结束后在</w:t>
            </w:r>
            <w:r>
              <w:rPr>
                <w:rFonts w:hint="eastAsia" w:cs="仿宋_GB2312" w:asciiTheme="minorEastAsia" w:hAnsiTheme="minorEastAsia"/>
                <w:szCs w:val="21"/>
              </w:rPr>
              <w:t>http://eps.tunhe.com平台网站</w:t>
            </w:r>
            <w:r>
              <w:rPr>
                <w:rFonts w:hint="eastAsia" w:cs="仿宋_GB2312" w:asciiTheme="minorEastAsia" w:hAnsiTheme="minorEastAsia"/>
                <w:bCs/>
                <w:szCs w:val="21"/>
              </w:rPr>
              <w:t>向中标人发出《中标通知书》，同时向所有落标人发出《招标结果通知书》。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7</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合同签订要求</w:t>
            </w:r>
          </w:p>
        </w:tc>
        <w:tc>
          <w:tcPr>
            <w:tcW w:w="7910" w:type="dxa"/>
          </w:tcPr>
          <w:p>
            <w:pPr>
              <w:snapToGrid w:val="0"/>
              <w:spacing w:line="240" w:lineRule="atLeast"/>
              <w:ind w:firstLine="315" w:firstLineChars="150"/>
              <w:rPr>
                <w:rFonts w:ascii="宋体" w:hAnsi="宋体" w:eastAsia="宋体" w:cs="仿宋_GB2312"/>
                <w:sz w:val="18"/>
                <w:szCs w:val="18"/>
              </w:rPr>
            </w:pPr>
            <w:r>
              <w:rPr>
                <w:rFonts w:hint="eastAsia" w:cs="仿宋_GB2312" w:asciiTheme="minorEastAsia" w:hAnsiTheme="minorEastAsia"/>
                <w:szCs w:val="21"/>
              </w:rPr>
              <w:t>中标人在收到《中标通知书》之后，应按照《中标通知书》规定的时间签订合同。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6" w:type="dxa"/>
          </w:tcPr>
          <w:p>
            <w:pPr>
              <w:jc w:val="left"/>
              <w:rPr>
                <w:rFonts w:asciiTheme="minorEastAsia" w:hAnsiTheme="minorEastAsia"/>
                <w:sz w:val="18"/>
                <w:szCs w:val="18"/>
              </w:rPr>
            </w:pPr>
            <w:r>
              <w:rPr>
                <w:rFonts w:asciiTheme="minorEastAsia" w:hAnsiTheme="minorEastAsia"/>
                <w:sz w:val="18"/>
                <w:szCs w:val="18"/>
              </w:rPr>
              <w:t>28</w:t>
            </w:r>
          </w:p>
        </w:tc>
        <w:tc>
          <w:tcPr>
            <w:tcW w:w="1701" w:type="dxa"/>
          </w:tcPr>
          <w:p>
            <w:pPr>
              <w:jc w:val="left"/>
              <w:rPr>
                <w:rFonts w:cs="仿宋_GB2312" w:asciiTheme="minorEastAsia" w:hAnsiTheme="minorEastAsia"/>
                <w:bCs/>
                <w:szCs w:val="21"/>
              </w:rPr>
            </w:pPr>
            <w:r>
              <w:rPr>
                <w:rFonts w:hint="eastAsia"/>
              </w:rPr>
              <w:t>项目联系人</w:t>
            </w:r>
          </w:p>
        </w:tc>
        <w:tc>
          <w:tcPr>
            <w:tcW w:w="7910" w:type="dxa"/>
          </w:tcPr>
          <w:p>
            <w:pPr>
              <w:pStyle w:val="21"/>
              <w:spacing w:line="240" w:lineRule="atLeast"/>
              <w:ind w:left="0" w:leftChars="0" w:firstLine="0" w:firstLineChars="0"/>
              <w:rPr>
                <w:rFonts w:cs="仿宋_GB2312" w:asciiTheme="minorEastAsia" w:hAnsiTheme="minorEastAsia"/>
                <w:szCs w:val="21"/>
              </w:rPr>
            </w:pPr>
            <w:r>
              <w:rPr>
                <w:rFonts w:hint="eastAsia"/>
              </w:rPr>
              <w:t>联系人：郝红艳</w:t>
            </w:r>
            <w:r>
              <w:t xml:space="preserve"> </w:t>
            </w:r>
            <w:r>
              <w:rPr>
                <w:rFonts w:hint="eastAsia"/>
              </w:rPr>
              <w:t>联系电话：1</w:t>
            </w:r>
            <w:r>
              <w:t>3582901593</w:t>
            </w:r>
          </w:p>
          <w:p>
            <w:pPr>
              <w:tabs>
                <w:tab w:val="left" w:pos="768"/>
              </w:tabs>
            </w:pPr>
            <w: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426" w:type="dxa"/>
          </w:tcPr>
          <w:p>
            <w:pPr>
              <w:jc w:val="left"/>
              <w:rPr>
                <w:rFonts w:ascii="宋体" w:hAnsi="宋体" w:eastAsia="宋体"/>
                <w:szCs w:val="21"/>
              </w:rPr>
            </w:pPr>
            <w:r>
              <w:rPr>
                <w:rFonts w:ascii="宋体" w:hAnsi="宋体" w:eastAsia="宋体"/>
                <w:szCs w:val="21"/>
              </w:rPr>
              <w:t>29</w:t>
            </w:r>
          </w:p>
        </w:tc>
        <w:tc>
          <w:tcPr>
            <w:tcW w:w="1701" w:type="dxa"/>
          </w:tcPr>
          <w:p>
            <w:pPr>
              <w:spacing w:line="360" w:lineRule="auto"/>
              <w:ind w:firstLine="315" w:firstLineChars="150"/>
              <w:rPr>
                <w:rFonts w:ascii="宋体" w:hAnsi="宋体" w:eastAsia="宋体" w:cs="仿宋_GB2312"/>
                <w:szCs w:val="21"/>
              </w:rPr>
            </w:pPr>
            <w:r>
              <w:rPr>
                <w:rFonts w:hint="eastAsia" w:ascii="宋体" w:hAnsi="宋体" w:eastAsia="宋体" w:cs="仿宋_GB2312"/>
                <w:szCs w:val="21"/>
              </w:rPr>
              <w:t>中粮糖业采购监督联系方式</w:t>
            </w:r>
          </w:p>
          <w:p>
            <w:pPr>
              <w:jc w:val="left"/>
              <w:rPr>
                <w:rFonts w:ascii="宋体" w:hAnsi="宋体" w:eastAsia="宋体" w:cs="仿宋_GB2312"/>
                <w:szCs w:val="21"/>
              </w:rPr>
            </w:pPr>
          </w:p>
        </w:tc>
        <w:tc>
          <w:tcPr>
            <w:tcW w:w="7910" w:type="dxa"/>
          </w:tcPr>
          <w:p>
            <w:pPr>
              <w:snapToGrid w:val="0"/>
              <w:spacing w:line="240" w:lineRule="atLeast"/>
              <w:rPr>
                <w:rFonts w:hint="eastAsia" w:ascii="宋体" w:hAnsi="宋体" w:eastAsia="宋体" w:cs="仿宋_GB2312"/>
                <w:szCs w:val="21"/>
                <w:lang w:val="en-US" w:eastAsia="zh-CN"/>
              </w:rPr>
            </w:pPr>
            <w:r>
              <w:rPr>
                <w:rFonts w:hint="eastAsia" w:ascii="宋体" w:hAnsi="宋体" w:eastAsia="宋体" w:cs="仿宋_GB2312"/>
                <w:szCs w:val="21"/>
                <w:lang w:val="en-US" w:eastAsia="zh-CN"/>
              </w:rPr>
              <w:t>凡发现违规违纪现象均可通过电话、邮件、信件等方式进行举报，举报联络方式如下：</w:t>
            </w:r>
          </w:p>
          <w:p>
            <w:pPr>
              <w:snapToGrid w:val="0"/>
              <w:spacing w:line="240" w:lineRule="atLeast"/>
              <w:rPr>
                <w:rFonts w:hint="eastAsia" w:ascii="宋体" w:hAnsi="宋体" w:eastAsia="宋体" w:cs="仿宋_GB2312"/>
                <w:szCs w:val="21"/>
              </w:rPr>
            </w:pPr>
            <w:r>
              <w:rPr>
                <w:rFonts w:hint="eastAsia" w:ascii="宋体" w:hAnsi="宋体" w:eastAsia="宋体" w:cs="仿宋_GB2312"/>
                <w:b/>
                <w:bCs/>
                <w:szCs w:val="21"/>
                <w:lang w:val="en-US" w:eastAsia="zh-CN"/>
              </w:rPr>
              <w:t>一、</w:t>
            </w:r>
            <w:r>
              <w:rPr>
                <w:rFonts w:hint="eastAsia" w:ascii="宋体" w:hAnsi="宋体" w:eastAsia="宋体" w:cs="仿宋_GB2312"/>
                <w:b/>
                <w:bCs/>
                <w:szCs w:val="21"/>
              </w:rPr>
              <w:t>上一级（中粮糖业）纪检监督联络方式： </w:t>
            </w:r>
            <w:r>
              <w:rPr>
                <w:rFonts w:hint="eastAsia" w:ascii="宋体" w:hAnsi="宋体" w:eastAsia="宋体" w:cs="仿宋_GB2312"/>
                <w:szCs w:val="21"/>
              </w:rPr>
              <w:t>       </w:t>
            </w:r>
            <w:r>
              <w:rPr>
                <w:rFonts w:hint="eastAsia" w:ascii="宋体" w:hAnsi="宋体" w:eastAsia="宋体" w:cs="仿宋_GB2312"/>
                <w:szCs w:val="21"/>
              </w:rPr>
              <w:br w:type="textWrapping"/>
            </w:r>
            <w:r>
              <w:rPr>
                <w:rFonts w:hint="eastAsia" w:ascii="宋体" w:hAnsi="宋体" w:eastAsia="宋体" w:cs="仿宋_GB2312"/>
                <w:szCs w:val="21"/>
              </w:rPr>
              <w:t xml:space="preserve">办公电话：010-85017235  </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通信地址：北京朝阳区朝阳门南大街8号中粮福临门大厦9层905房间中粮糖业纪委办公室（收）邮政编码：100020</w:t>
            </w:r>
          </w:p>
          <w:p>
            <w:pPr>
              <w:snapToGrid w:val="0"/>
              <w:spacing w:line="240" w:lineRule="atLeast"/>
              <w:rPr>
                <w:rFonts w:hint="eastAsia" w:ascii="宋体" w:hAnsi="宋体" w:eastAsia="宋体" w:cs="仿宋_GB2312"/>
                <w:b/>
                <w:bCs/>
                <w:szCs w:val="21"/>
              </w:rPr>
            </w:pPr>
            <w:r>
              <w:rPr>
                <w:rFonts w:hint="eastAsia" w:ascii="宋体" w:hAnsi="宋体" w:eastAsia="宋体" w:cs="仿宋_GB2312"/>
                <w:b/>
                <w:bCs/>
                <w:szCs w:val="21"/>
              </w:rPr>
              <w:t>二、唐山糖业公司纪检监督联络方式</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 xml:space="preserve">办公电话：0315-8799003   </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电子邮箱：ninghaishan@cofco.com</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通信地址：唐山市曹妃甸区曹妃甸工业区二港池西岸中粮（唐山）糖业有限公司综合管理部（收）邮政编码：063200</w:t>
            </w:r>
          </w:p>
        </w:tc>
      </w:tr>
    </w:tbl>
    <w:p>
      <w:pPr>
        <w:jc w:val="center"/>
        <w:rPr>
          <w:rFonts w:ascii="黑体" w:eastAsia="黑体"/>
          <w:bCs/>
          <w:sz w:val="36"/>
          <w:szCs w:val="36"/>
        </w:rPr>
      </w:pPr>
      <w:bookmarkStart w:id="1" w:name="_Toc19347"/>
      <w:bookmarkStart w:id="2" w:name="_Toc21028"/>
      <w:bookmarkStart w:id="3" w:name="_Toc490749736"/>
    </w:p>
    <w:p>
      <w:pPr>
        <w:jc w:val="center"/>
        <w:rPr>
          <w:rFonts w:ascii="黑体" w:eastAsia="黑体"/>
          <w:bCs/>
          <w:sz w:val="36"/>
          <w:szCs w:val="36"/>
        </w:rPr>
      </w:pPr>
      <w:r>
        <w:rPr>
          <w:rFonts w:hint="eastAsia" w:ascii="黑体" w:eastAsia="黑体"/>
          <w:bCs/>
          <w:sz w:val="36"/>
          <w:szCs w:val="36"/>
        </w:rPr>
        <w:t xml:space="preserve">第二章 </w:t>
      </w:r>
      <w:r>
        <w:rPr>
          <w:rFonts w:hint="eastAsia" w:ascii="黑体" w:eastAsia="黑体"/>
          <w:bCs/>
          <w:sz w:val="36"/>
          <w:szCs w:val="36"/>
          <w:lang w:val="en-US" w:eastAsia="zh-CN"/>
        </w:rPr>
        <w:t>改造方案及</w:t>
      </w:r>
      <w:r>
        <w:rPr>
          <w:rFonts w:hint="eastAsia" w:ascii="黑体" w:eastAsia="黑体"/>
          <w:bCs/>
          <w:sz w:val="36"/>
          <w:szCs w:val="36"/>
        </w:rPr>
        <w:t>技术要求</w:t>
      </w:r>
    </w:p>
    <w:p>
      <w:pPr>
        <w:rPr>
          <w:rFonts w:ascii="黑体" w:eastAsia="黑体"/>
          <w:bCs/>
          <w:sz w:val="36"/>
          <w:szCs w:val="36"/>
          <w:u w:val="single"/>
        </w:rPr>
      </w:pPr>
      <w:r>
        <w:rPr>
          <w:rFonts w:hint="eastAsia" w:ascii="黑体" w:eastAsia="黑体"/>
          <w:bCs/>
          <w:sz w:val="36"/>
          <w:szCs w:val="36"/>
          <w:u w:val="single"/>
        </w:rPr>
        <w:t xml:space="preserve"> </w:t>
      </w:r>
      <w:r>
        <w:rPr>
          <w:rFonts w:ascii="黑体" w:eastAsia="黑体"/>
          <w:bCs/>
          <w:sz w:val="36"/>
          <w:szCs w:val="36"/>
          <w:u w:val="single"/>
        </w:rPr>
        <w:t xml:space="preserve">                                                   </w:t>
      </w:r>
    </w:p>
    <w:p>
      <w:pPr>
        <w:tabs>
          <w:tab w:val="left" w:pos="312"/>
        </w:tabs>
        <w:spacing w:before="120" w:beforeLines="50" w:after="120" w:afterLines="50" w:line="480" w:lineRule="exact"/>
        <w:outlineLvl w:val="2"/>
        <w:rPr>
          <w:rFonts w:hint="default" w:cs="新宋体" w:asciiTheme="minorEastAsia" w:hAnsiTheme="minorEastAsia" w:eastAsiaTheme="minorEastAsia"/>
          <w:b/>
          <w:szCs w:val="21"/>
          <w:lang w:val="en-US" w:eastAsia="zh-CN"/>
        </w:rPr>
      </w:pPr>
      <w:bookmarkStart w:id="4" w:name="_Toc472689511"/>
      <w:bookmarkStart w:id="5" w:name="_Toc3374"/>
      <w:r>
        <w:rPr>
          <w:rFonts w:hint="eastAsia" w:cs="新宋体" w:asciiTheme="minorEastAsia" w:hAnsiTheme="minorEastAsia"/>
          <w:b/>
          <w:szCs w:val="21"/>
        </w:rPr>
        <w:t>1、</w:t>
      </w:r>
      <w:bookmarkEnd w:id="4"/>
      <w:bookmarkEnd w:id="5"/>
      <w:r>
        <w:rPr>
          <w:rFonts w:hint="eastAsia" w:cs="新宋体" w:asciiTheme="minorEastAsia" w:hAnsiTheme="minorEastAsia"/>
          <w:b/>
          <w:szCs w:val="21"/>
          <w:lang w:val="en-US" w:eastAsia="zh-CN"/>
        </w:rPr>
        <w:t>工程概况</w:t>
      </w:r>
    </w:p>
    <w:p>
      <w:pPr>
        <w:snapToGrid w:val="0"/>
        <w:spacing w:line="360" w:lineRule="auto"/>
        <w:ind w:firstLine="420" w:firstLineChars="200"/>
        <w:outlineLvl w:val="1"/>
        <w:rPr>
          <w:rFonts w:hint="eastAsia" w:asciiTheme="minorEastAsia" w:hAnsiTheme="minorEastAsia" w:cstheme="majorEastAsia"/>
          <w:bCs/>
          <w:szCs w:val="21"/>
        </w:rPr>
      </w:pPr>
      <w:r>
        <w:rPr>
          <w:rFonts w:hint="eastAsia" w:asciiTheme="minorEastAsia" w:hAnsiTheme="minorEastAsia" w:cstheme="majorEastAsia"/>
          <w:bCs/>
          <w:szCs w:val="21"/>
        </w:rPr>
        <w:t>目前除盐水直接进入除氧器混合后经过200℃蒸汽再进行加热120℃后进入锅炉，增加了自用汽。为了开展节能降耗，现利用炼糖二期回水经过换热器余热利用，提高除盐水进入除氧器温度。</w:t>
      </w:r>
    </w:p>
    <w:p>
      <w:pPr>
        <w:snapToGrid w:val="0"/>
        <w:spacing w:line="360" w:lineRule="auto"/>
        <w:ind w:firstLine="420" w:firstLineChars="200"/>
        <w:outlineLvl w:val="1"/>
        <w:rPr>
          <w:rFonts w:hint="eastAsia" w:asciiTheme="minorEastAsia" w:hAnsiTheme="minorEastAsia" w:cstheme="majorEastAsia"/>
          <w:bCs/>
          <w:szCs w:val="21"/>
        </w:rPr>
      </w:pPr>
      <w:r>
        <w:rPr>
          <w:rFonts w:hint="eastAsia" w:asciiTheme="minorEastAsia" w:hAnsiTheme="minorEastAsia" w:cstheme="majorEastAsia"/>
          <w:bCs/>
          <w:szCs w:val="21"/>
        </w:rPr>
        <w:t>今年冬季出现极端天气状况（最低可达零下20摄氏度），动力化水制水系统原水箱、中间水箱、除盐水箱本体保温彩钢板锈蚀，失去保温作用，致使罐体及附属管道出现结冰现象，为了杜绝此现象，保证除盐水换热效果，现须更换罐体及相关管道保温。</w:t>
      </w:r>
    </w:p>
    <w:p>
      <w:pPr>
        <w:snapToGrid w:val="0"/>
        <w:spacing w:line="360" w:lineRule="auto"/>
        <w:outlineLvl w:val="1"/>
        <w:rPr>
          <w:rFonts w:hint="eastAsia" w:ascii="宋体" w:hAnsi="宋体" w:eastAsia="宋体" w:cs="宋体"/>
          <w:b/>
          <w:bCs/>
          <w:sz w:val="21"/>
          <w:szCs w:val="21"/>
        </w:rPr>
      </w:pPr>
      <w:r>
        <w:rPr>
          <w:rFonts w:hint="eastAsia" w:ascii="宋体" w:hAnsi="宋体" w:eastAsia="宋体" w:cs="宋体"/>
          <w:b/>
          <w:bCs/>
          <w:sz w:val="21"/>
          <w:szCs w:val="21"/>
        </w:rPr>
        <w:t xml:space="preserve">2. </w:t>
      </w:r>
      <w:bookmarkStart w:id="6" w:name="_Toc400559065"/>
      <w:bookmarkStart w:id="7" w:name="_Toc400630668"/>
      <w:r>
        <w:rPr>
          <w:rFonts w:hint="eastAsia" w:ascii="宋体" w:hAnsi="宋体" w:eastAsia="宋体" w:cs="宋体"/>
          <w:b/>
          <w:bCs/>
          <w:sz w:val="21"/>
          <w:szCs w:val="21"/>
          <w:lang w:val="en-US" w:eastAsia="zh-CN"/>
        </w:rPr>
        <w:t>项目</w:t>
      </w:r>
      <w:r>
        <w:rPr>
          <w:rFonts w:hint="eastAsia" w:ascii="宋体" w:hAnsi="宋体" w:eastAsia="宋体" w:cs="宋体"/>
          <w:b/>
          <w:bCs/>
          <w:sz w:val="21"/>
          <w:szCs w:val="21"/>
        </w:rPr>
        <w:t>范围</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（1）列管式换热器进出口扩孔、清洗、试压、安装</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（2）水泵及相关管道、阀门、仪表安装</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（3）换热器管道、换热器本体保温安装</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（4）除盐水箱、中间水箱、原水箱及相关管道的保温</w:t>
      </w:r>
    </w:p>
    <w:p>
      <w:pPr>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lang w:val="en-US" w:eastAsia="zh-CN"/>
        </w:rPr>
        <w:t>3.</w:t>
      </w:r>
      <w:r>
        <w:rPr>
          <w:rFonts w:hint="eastAsia" w:ascii="宋体" w:hAnsi="宋体" w:eastAsia="宋体" w:cs="宋体"/>
          <w:b/>
          <w:sz w:val="21"/>
          <w:szCs w:val="21"/>
        </w:rPr>
        <w:t>项目改造方案</w:t>
      </w:r>
    </w:p>
    <w:bookmarkEnd w:id="6"/>
    <w:bookmarkEnd w:id="7"/>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本项目主要利用炼糖车间二期回水增加两台（换热面积400㎡）列管换热器（利旧）进行余热换热除盐水，增加进入除氧器除盐水温度，保证罐体保温性能，提高效能利用，具体实施方案为：</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1.制作工字钢框架，使用吊车将换热器吊至框架内固定，计算承重并与加固，拆除旧换热器在安装前内部进行高压冲洗并试压，保证设备良好。</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2.从炼糖二期回水管道接两支下降管分别接入两台换热器进行并联，回水管理增加挡水板保证回水无拉空现象产生。换热器回水增加一台（15千瓦）管道离心泵（利旧）加速换热过程，回水至炼糖水箱并与回水管道进行连接。</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3.除盐水箱增加一台（5.5千瓦）（新购）管道泵一台，用于除盐水循环进入换热器进行换热。</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4.拆除原水箱、除盐水箱、中间水箱及其附属管道的保温并恢复新保温。</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方案简易示意图及具体参数如下：</w:t>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68595" cy="2747645"/>
            <wp:effectExtent l="0" t="0" r="444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8595" cy="27476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rPr>
      </w:pPr>
      <w:r>
        <w:drawing>
          <wp:inline distT="0" distB="0" distL="114300" distR="114300">
            <wp:extent cx="5266690" cy="2560320"/>
            <wp:effectExtent l="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6690" cy="25603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lang w:val="en-US" w:eastAsia="zh-CN"/>
        </w:rPr>
      </w:pPr>
      <w:r>
        <w:rPr>
          <w:rFonts w:hint="eastAsia" w:asciiTheme="minorEastAsia" w:hAnsiTheme="minorEastAsia"/>
          <w:b/>
          <w:bCs w:val="0"/>
          <w:szCs w:val="21"/>
          <w:lang w:val="en-US" w:eastAsia="zh-CN"/>
        </w:rPr>
        <w:t>4.工期及质量</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4.1要求工期：15日历天，具体时间按甲方实际需求，甲方提前一周通知乙方。</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4.2工期延误</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4.2.1因甲方原因导致工期延误</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因甲方原因未按计划开工日期开工的，甲方应按实际开工日期顺延竣工日期，确保实际工期不低于合同约定的工期总日历天数。</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4.2.2 因乙方原因导致工期延误</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因乙方原因造成工期延误，逾期竣工违约金的计算方法为：工期每延误一天向甲方支付20000元违约金。因乙方原因造成工期延误，逾期竣工违约金的上限：合同价款的2%。</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4.3工程质量必须符合国家标准或行业标准（无国家标准以行业标准为准）及设计要求，所有使用产品，必须符合质量验收标准，一次验收合格。如果由产品质量或安装施工原因造成的返工由乙方全部负责（含由此造成的所有费用）。</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lang w:val="en-US" w:eastAsia="zh-CN"/>
        </w:rPr>
      </w:pPr>
      <w:r>
        <w:rPr>
          <w:rFonts w:hint="eastAsia" w:asciiTheme="minorEastAsia" w:hAnsiTheme="minorEastAsia"/>
          <w:b/>
          <w:bCs w:val="0"/>
          <w:szCs w:val="21"/>
          <w:lang w:val="en-US" w:eastAsia="zh-CN"/>
        </w:rPr>
        <w:t>5.设计规范</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《机械设备安装工程施工及验收通用规范》GB50231-2009</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《现场设备、工业管道焊接工程施工及验收规范》GB50236-98</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《钢结构工程施工及验收规范》GBJ236</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《工业自动化仪表安装施工规范国家标准》GBJ 93-86</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《设备及管道绝热技术通则》GB/T4272-2008</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《机械设备防护罩安全标准》GB8196-2003</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《机械加工设备一般安全要求》GB12266-90</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《工业管道的基本识别色、识别符号和安全标识》GB7231-2003</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lang w:val="en-US" w:eastAsia="zh-CN"/>
        </w:rPr>
      </w:pPr>
      <w:r>
        <w:rPr>
          <w:rFonts w:hint="eastAsia" w:asciiTheme="minorEastAsia" w:hAnsiTheme="minorEastAsia"/>
          <w:b/>
          <w:bCs w:val="0"/>
          <w:szCs w:val="21"/>
          <w:lang w:val="en-US" w:eastAsia="zh-CN"/>
        </w:rPr>
        <w:t>6.技术要求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6.1技术特性</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6.2对设备管路焊接要求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6.2.1对碳钢焊接要求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按照GB6416-1986执行。</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6.2.2不锈钢材料焊接要求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按甲方不锈钢氟弧焊相关国家标准执行。</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6.3各管道要有固定架。</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6.4所使用的碳钢部分外表面，外层要进行除锈上油漆防腐处理。</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6.4.1管道、支架进行除锈，彻底清除表面浮锈、污杂物、焊渣等</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6.4.2防腐结构为:两道防腐底漆加一道面漆。</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6.4.3防腐要求: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6.4.3.1防腐施工中，必须等前一道涂漆干透后，才能进行下一道涂漆。</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6.4.3.2不得在雨天和雾天进行露天防腐施工。</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6.5对设备管道保温要求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6.5.1设备保温依据《设备及管道绝热技术通则》GB/T4272-2008对有保温不能达到保温效果和无保温设备采取增设绝热层。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6.5.2换热器及管道保温层采用50mm硅酸铝卷毡/板，拼缝宽度不应大于5mm，用14-16号镀锌铁丝进行困扎，每块保温制品，每延长米不得少于两道，防护层选用0.5mm铝板；除盐水箱、中间水箱、原水箱本体保温防护层采用0.5mm不锈钢瓦楞板，保温层采用50mm硅酸铝毡/板，容重不小于100(kg/m³)，确保满足保温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6.6安装前，换热器须经过高压清洗并试压，合格后方可安装。</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lang w:val="en-US" w:eastAsia="zh-CN"/>
        </w:rPr>
      </w:pPr>
      <w:r>
        <w:rPr>
          <w:rFonts w:hint="eastAsia" w:asciiTheme="minorEastAsia" w:hAnsiTheme="minorEastAsia"/>
          <w:b/>
          <w:bCs w:val="0"/>
          <w:szCs w:val="21"/>
          <w:lang w:val="en-US" w:eastAsia="zh-CN"/>
        </w:rPr>
        <w:t>7.其他要求</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7.1焊工要求的作业证并经过安全培训合格方可上岗作业。。</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7.2作业前穿戴好劳动防护用品，经过安全确认方可作业。</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7.3焊接切口应平整，焊接前打磨光滑，去除毛刺、凹凸、氧化物、铁屑等。</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7.4焊件根据实际尺寸裁剪切割，焊接前清除焊件内杂物。</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7.5管道铺设一般条件下满足横平竖直，有便于疏水或排空等特殊要求除外。</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7.6焊接时选择适合的焊材，不许使用不匹配焊材。需要保温烘干的焊材按照要求进行保温烘干。</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7.7焊接过程焊缝对口缝隙均匀，禁止使用填充物对宽大焊缝进行填充。</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7.8焊接对口要留有一定距离间隙，焊接过程要形成单面焊接双面成型。</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7.9焊缝应牢固均匀，不得有虚焊，漏焊，悍穿、咬边，夹渣，气孔、焊瘤等缺陷。</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7.10焊接后不许残留焊药皮，其余未焊接部位飞溅清理干净</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7.11焊接过后，焊件表面不许出现任何变形，甚至有些焊件需要去除焊接后应力。</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7.12焊接带有丝扣或者螺栓的法兰等紧固件时，禁止飞溅对螺纹扣进行损伤。</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7.13焊接后余高不能低于母材。不同厚度的母材（焊件）焊接时，焊缝高度不能小于最薄母材（焊件）厚度。</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7.14焊接过程对周围地面，设备，等做好防护，避免因焊接造成意外伤害。</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val="0"/>
          <w:bCs/>
          <w:szCs w:val="21"/>
          <w:lang w:val="en-US" w:eastAsia="zh-CN"/>
        </w:rPr>
      </w:pPr>
      <w:r>
        <w:rPr>
          <w:rFonts w:hint="eastAsia" w:asciiTheme="minorEastAsia" w:hAnsiTheme="minorEastAsia"/>
          <w:b w:val="0"/>
          <w:bCs/>
          <w:szCs w:val="21"/>
          <w:lang w:val="en-US" w:eastAsia="zh-CN"/>
        </w:rPr>
        <w:t>7.15所有图纸需经甲方确认后，乙方才能下料制作。</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widowControl/>
        <w:jc w:val="center"/>
        <w:rPr>
          <w:rFonts w:hint="default" w:ascii="黑体" w:eastAsia="黑体"/>
          <w:b/>
          <w:sz w:val="36"/>
          <w:szCs w:val="36"/>
          <w:lang w:val="en-US" w:eastAsia="zh-CN"/>
        </w:rPr>
      </w:pPr>
      <w:r>
        <w:rPr>
          <w:rFonts w:hint="eastAsia" w:ascii="黑体" w:eastAsia="黑体"/>
          <w:b/>
          <w:sz w:val="36"/>
          <w:szCs w:val="36"/>
        </w:rPr>
        <w:t xml:space="preserve">第三章 </w:t>
      </w:r>
      <w:r>
        <w:rPr>
          <w:rFonts w:hint="eastAsia" w:ascii="黑体" w:eastAsia="黑体"/>
          <w:b/>
          <w:sz w:val="36"/>
          <w:szCs w:val="36"/>
          <w:lang w:val="en-US" w:eastAsia="zh-CN"/>
        </w:rPr>
        <w:t>工程量清单</w:t>
      </w:r>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heme="minorEastAsia" w:hAnsiTheme="minorEastAsia"/>
          <w:b/>
          <w:bCs w:val="0"/>
          <w:sz w:val="24"/>
          <w:szCs w:val="24"/>
        </w:rPr>
      </w:pP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heme="minorEastAsia" w:hAnsiTheme="minorEastAsia"/>
          <w:b/>
          <w:bCs w:val="0"/>
          <w:sz w:val="24"/>
          <w:szCs w:val="24"/>
        </w:rPr>
      </w:pPr>
      <w:r>
        <w:rPr>
          <w:rFonts w:hint="eastAsia" w:asciiTheme="minorEastAsia" w:hAnsiTheme="minorEastAsia"/>
          <w:b/>
          <w:bCs w:val="0"/>
          <w:sz w:val="24"/>
          <w:szCs w:val="24"/>
        </w:rPr>
        <w:t>工程量清单编制说明</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bCs w:val="0"/>
          <w:szCs w:val="21"/>
        </w:rPr>
      </w:pPr>
      <w:r>
        <w:rPr>
          <w:rFonts w:hint="eastAsia" w:asciiTheme="minorEastAsia" w:hAnsiTheme="minorEastAsia"/>
          <w:b/>
          <w:bCs w:val="0"/>
          <w:szCs w:val="21"/>
        </w:rPr>
        <w:t>一、工程概况</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both"/>
        <w:textAlignment w:val="auto"/>
        <w:rPr>
          <w:rFonts w:hint="eastAsia" w:asciiTheme="minorEastAsia" w:hAnsiTheme="minorEastAsia"/>
          <w:b w:val="0"/>
          <w:bCs/>
          <w:szCs w:val="21"/>
        </w:rPr>
      </w:pPr>
      <w:r>
        <w:rPr>
          <w:rFonts w:hint="eastAsia" w:asciiTheme="minorEastAsia" w:hAnsiTheme="minorEastAsia"/>
          <w:b w:val="0"/>
          <w:bCs/>
          <w:szCs w:val="21"/>
        </w:rPr>
        <w:t>本项目主要利用炼糖车间二期回水增加两台（换热面积 400 ㎡）列管换热器（利旧）进行余热换热除盐水，增加进入除氧器除盐水温度，提高效能利用具体实施方案为：</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1.制作工字钢框架，使用吊车将换热器吊至框架内固定，计算承重并与加固，拆除旧换热器在安装前内部进行高压冲洗并试压，保证设备良好。</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2.从炼糖二期回水管道接两支下降管分别接入两台换热器进行并联，回水管理增加挡水板保证回水无拉空现象产生。换热器回水增加一台（15 千瓦）管道离心泵（利旧）加速换热过程，回水至炼糖水箱并与回水管道进行连接。</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3.除盐水箱增加一台（5.5 千瓦）（新购）管道泵一台，用于除盐水循环进入换热器进行换热。</w:t>
      </w:r>
    </w:p>
    <w:p>
      <w:pPr>
        <w:keepNext w:val="0"/>
        <w:keepLines w:val="0"/>
        <w:pageBreakBefore w:val="0"/>
        <w:widowControl/>
        <w:numPr>
          <w:ilvl w:val="0"/>
          <w:numId w:val="2"/>
        </w:numPr>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 xml:space="preserve">拆除原水箱、除盐水箱、中间水箱及其附属管道的保温并恢复新保温。 </w:t>
      </w:r>
    </w:p>
    <w:p>
      <w:pPr>
        <w:keepNext w:val="0"/>
        <w:keepLines w:val="0"/>
        <w:pageBreakBefore w:val="0"/>
        <w:widowControl/>
        <w:numPr>
          <w:ilvl w:val="0"/>
          <w:numId w:val="0"/>
        </w:numPr>
        <w:kinsoku/>
        <w:wordWrap/>
        <w:overflowPunct/>
        <w:topLinePunct w:val="0"/>
        <w:autoSpaceDE/>
        <w:autoSpaceDN/>
        <w:bidi w:val="0"/>
        <w:adjustRightInd/>
        <w:snapToGrid/>
        <w:spacing w:line="480" w:lineRule="auto"/>
        <w:jc w:val="both"/>
        <w:textAlignment w:val="auto"/>
        <w:rPr>
          <w:rFonts w:hint="eastAsia" w:asciiTheme="minorEastAsia" w:hAnsiTheme="minorEastAsia"/>
          <w:b/>
          <w:bCs w:val="0"/>
          <w:szCs w:val="21"/>
        </w:rPr>
      </w:pPr>
      <w:r>
        <w:rPr>
          <w:rFonts w:hint="eastAsia" w:asciiTheme="minorEastAsia" w:hAnsiTheme="minorEastAsia"/>
          <w:b/>
          <w:bCs w:val="0"/>
          <w:szCs w:val="21"/>
        </w:rPr>
        <w:t>二、清单编制范围</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本次编制范围：（1）列管式换热器进出口扩孔、清洗、试压、安装；（2）水泵及相关管道、阀门、仪表安装；（3）管道、换热器保温安装；（４）除盐水箱、中间水箱、原水箱及相关管道的保温等。</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 xml:space="preserve"> </w:t>
      </w:r>
      <w:r>
        <w:rPr>
          <w:rFonts w:hint="eastAsia" w:asciiTheme="minorEastAsia" w:hAnsiTheme="minorEastAsia"/>
          <w:b/>
          <w:bCs w:val="0"/>
          <w:szCs w:val="21"/>
        </w:rPr>
        <w:t>三、清单编制依据</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1、国家和河北省有关法律、法规、规范性文件和计费文件；</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2、动力车间除盐水换热改造项目建议书、动力车间除盐水换热改造项目说明及技术要求；</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3、《房屋建筑与装饰工程工程量计算规范》（GB50854-2013）；</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4、《建设工程工程量清单计价规范》（GB50500-2013）；</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 xml:space="preserve">5、《通用安装工程工程量计算规范》（GB50856-2013）。 </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bCs w:val="0"/>
          <w:szCs w:val="21"/>
        </w:rPr>
      </w:pPr>
      <w:r>
        <w:rPr>
          <w:rFonts w:hint="eastAsia" w:asciiTheme="minorEastAsia" w:hAnsiTheme="minorEastAsia"/>
          <w:b/>
          <w:bCs w:val="0"/>
          <w:szCs w:val="21"/>
        </w:rPr>
        <w:t>四、清单编制说明</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1.所有清单中管理费、利润、措施费等费率请投标人按企业自身实际情况填写；其中安全文明及税金是非竞争项，按国家和河北省唐山市规定取费；</w:t>
      </w:r>
    </w:p>
    <w:p>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heme="minorEastAsia" w:hAnsiTheme="minorEastAsia"/>
          <w:b w:val="0"/>
          <w:bCs/>
          <w:szCs w:val="21"/>
        </w:rPr>
      </w:pPr>
      <w:r>
        <w:rPr>
          <w:rFonts w:hint="eastAsia" w:asciiTheme="minorEastAsia" w:hAnsiTheme="minorEastAsia"/>
          <w:b w:val="0"/>
          <w:bCs/>
          <w:szCs w:val="21"/>
        </w:rPr>
        <w:t>2.清单中列明的及未列出的措施费请投标人按企业自身实际情况填写及增补。</w:t>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87645" cy="462851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87645" cy="46285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87645" cy="3467100"/>
            <wp:effectExtent l="0" t="0" r="63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87645" cy="34671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92090" cy="4817110"/>
            <wp:effectExtent l="0" t="0" r="1143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92090" cy="48171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91455" cy="3496310"/>
            <wp:effectExtent l="0" t="0" r="12065"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91455" cy="34963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92090" cy="4957445"/>
            <wp:effectExtent l="0" t="0" r="1143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92090" cy="49574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87645" cy="3169920"/>
            <wp:effectExtent l="0" t="0" r="63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287645" cy="31699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87645" cy="4800600"/>
            <wp:effectExtent l="0" t="0" r="63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5287645" cy="48006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88280" cy="3272790"/>
            <wp:effectExtent l="0" t="0" r="0" b="38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5288280" cy="32727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92090" cy="2414905"/>
            <wp:effectExtent l="0" t="0" r="11430"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5292090" cy="24149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rPr>
      </w:pPr>
      <w:r>
        <w:rPr>
          <w:rFonts w:hint="eastAsia"/>
        </w:rPr>
        <w:t>注：1.所有需安装的设备由甲方提供，辅材（氧气、乙炔、丙烷、焊材、防腐漆、工具及其他消耗型材料）由施工方提供。</w:t>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rPr>
          <w:rFonts w:hint="eastAsia"/>
        </w:rPr>
        <w:t>2.材料要求：所有设备、材料必须符合国家环保要求；施工方提供所有材料以甲方实际需求为标准。</w:t>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widowControl/>
        <w:jc w:val="center"/>
        <w:rPr>
          <w:rFonts w:ascii="黑体" w:eastAsia="黑体"/>
          <w:b/>
          <w:sz w:val="36"/>
          <w:szCs w:val="36"/>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章 合同条款</w:t>
      </w:r>
      <w:bookmarkEnd w:id="1"/>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rPr>
          <w:rFonts w:hint="eastAsia" w:asciiTheme="minorEastAsia" w:hAnsiTheme="minorEastAsia"/>
          <w:szCs w:val="21"/>
        </w:rPr>
      </w:pPr>
    </w:p>
    <w:p>
      <w:pPr>
        <w:jc w:val="center"/>
        <w:rPr>
          <w:rFonts w:hint="eastAsia" w:asciiTheme="minorEastAsia" w:hAnsiTheme="minorEastAsia"/>
          <w:b/>
          <w:bCs/>
          <w:sz w:val="28"/>
          <w:szCs w:val="28"/>
        </w:rPr>
      </w:pPr>
      <w:r>
        <w:rPr>
          <w:rFonts w:hint="eastAsia" w:asciiTheme="minorEastAsia" w:hAnsiTheme="minorEastAsia"/>
          <w:b/>
          <w:bCs/>
          <w:sz w:val="28"/>
          <w:szCs w:val="28"/>
        </w:rPr>
        <w:t>设备维保技改合同</w:t>
      </w:r>
    </w:p>
    <w:p>
      <w:pPr>
        <w:jc w:val="center"/>
        <w:rPr>
          <w:rFonts w:hint="eastAsia" w:asciiTheme="minorEastAsia" w:hAnsiTheme="minorEastAsia"/>
          <w:b/>
          <w:bCs/>
          <w:sz w:val="28"/>
          <w:szCs w:val="28"/>
        </w:rPr>
      </w:pPr>
    </w:p>
    <w:p>
      <w:pPr>
        <w:spacing w:line="500" w:lineRule="exact"/>
        <w:rPr>
          <w:rFonts w:hint="eastAsia" w:ascii="宋体" w:hAnsi="宋体"/>
          <w:sz w:val="21"/>
          <w:szCs w:val="21"/>
        </w:rPr>
      </w:pPr>
      <w:r>
        <w:rPr>
          <w:rFonts w:hint="eastAsia" w:ascii="宋体" w:hAnsi="宋体"/>
          <w:sz w:val="21"/>
          <w:szCs w:val="21"/>
        </w:rPr>
        <w:t>甲方：中粮(唐山)糖业有限公司</w:t>
      </w:r>
    </w:p>
    <w:p>
      <w:pPr>
        <w:spacing w:line="500" w:lineRule="exact"/>
        <w:rPr>
          <w:rFonts w:hint="eastAsia" w:ascii="宋体" w:hAnsi="宋体"/>
          <w:sz w:val="21"/>
          <w:szCs w:val="21"/>
        </w:rPr>
      </w:pPr>
      <w:r>
        <w:rPr>
          <w:rFonts w:hint="eastAsia" w:ascii="宋体" w:hAnsi="宋体"/>
          <w:sz w:val="21"/>
          <w:szCs w:val="21"/>
        </w:rPr>
        <w:t xml:space="preserve">乙方： </w:t>
      </w:r>
    </w:p>
    <w:p>
      <w:pPr>
        <w:spacing w:line="500" w:lineRule="exact"/>
        <w:ind w:firstLine="420" w:firstLineChars="200"/>
        <w:rPr>
          <w:rFonts w:hint="eastAsia" w:ascii="宋体" w:hAnsi="宋体"/>
          <w:sz w:val="21"/>
          <w:szCs w:val="21"/>
        </w:rPr>
      </w:pPr>
      <w:r>
        <w:rPr>
          <w:rFonts w:hint="eastAsia" w:ascii="宋体" w:hAnsi="宋体"/>
          <w:sz w:val="21"/>
          <w:szCs w:val="21"/>
        </w:rPr>
        <w:t>鉴于甲方于XXX年XXXX月XXXX日已接受乙方对本合同项目的投标，根据《</w:t>
      </w:r>
      <w:r>
        <w:rPr>
          <w:rFonts w:hint="eastAsia" w:ascii="微软雅黑" w:hAnsi="微软雅黑" w:eastAsia="微软雅黑"/>
          <w:sz w:val="21"/>
          <w:szCs w:val="21"/>
          <w:shd w:val="clear" w:color="auto" w:fill="FFFFFF"/>
        </w:rPr>
        <w:t>中华人民共和国民法典</w:t>
      </w:r>
      <w:r>
        <w:rPr>
          <w:rFonts w:hint="eastAsia" w:ascii="宋体" w:hAnsi="宋体"/>
          <w:sz w:val="21"/>
          <w:szCs w:val="21"/>
        </w:rPr>
        <w:t>》、投标文件、承诺书及其它有关规定。为明确双方的权利、责任和义务，经协商一致，签订本合同，共同信守。</w:t>
      </w:r>
    </w:p>
    <w:p>
      <w:pPr>
        <w:spacing w:line="500" w:lineRule="exact"/>
        <w:rPr>
          <w:rFonts w:hint="eastAsia" w:ascii="宋体" w:hAnsi="宋体"/>
          <w:b/>
          <w:bCs/>
          <w:sz w:val="21"/>
          <w:szCs w:val="21"/>
        </w:rPr>
      </w:pPr>
      <w:r>
        <w:rPr>
          <w:rFonts w:hint="eastAsia" w:ascii="宋体" w:hAnsi="宋体"/>
          <w:b/>
          <w:bCs/>
          <w:sz w:val="21"/>
          <w:szCs w:val="21"/>
        </w:rPr>
        <w:t>1</w:t>
      </w:r>
      <w:r>
        <w:rPr>
          <w:rFonts w:ascii="宋体" w:hAnsi="宋体"/>
          <w:b/>
          <w:bCs/>
          <w:sz w:val="21"/>
          <w:szCs w:val="21"/>
        </w:rPr>
        <w:t>.</w:t>
      </w:r>
      <w:r>
        <w:rPr>
          <w:rFonts w:hint="eastAsia" w:ascii="宋体" w:hAnsi="宋体"/>
          <w:b/>
          <w:bCs/>
          <w:sz w:val="21"/>
          <w:szCs w:val="21"/>
        </w:rPr>
        <w:t>项目概况</w:t>
      </w:r>
    </w:p>
    <w:p>
      <w:pPr>
        <w:spacing w:line="500" w:lineRule="exact"/>
        <w:rPr>
          <w:rFonts w:hint="eastAsia" w:ascii="宋体" w:hAnsi="宋体"/>
          <w:sz w:val="21"/>
          <w:szCs w:val="21"/>
        </w:rPr>
      </w:pPr>
      <w:r>
        <w:rPr>
          <w:rFonts w:hint="eastAsia" w:ascii="宋体" w:hAnsi="宋体"/>
          <w:sz w:val="21"/>
          <w:szCs w:val="21"/>
        </w:rPr>
        <w:t xml:space="preserve">项目名称： </w:t>
      </w:r>
    </w:p>
    <w:p>
      <w:pPr>
        <w:spacing w:line="500" w:lineRule="exact"/>
        <w:rPr>
          <w:rFonts w:hint="eastAsia" w:ascii="宋体" w:hAnsi="宋体"/>
          <w:sz w:val="21"/>
          <w:szCs w:val="21"/>
        </w:rPr>
      </w:pPr>
      <w:r>
        <w:rPr>
          <w:rFonts w:hint="eastAsia" w:ascii="宋体" w:hAnsi="宋体"/>
          <w:sz w:val="21"/>
          <w:szCs w:val="21"/>
        </w:rPr>
        <w:t xml:space="preserve">施工地点： </w:t>
      </w:r>
    </w:p>
    <w:p>
      <w:pPr>
        <w:spacing w:line="500" w:lineRule="exact"/>
        <w:rPr>
          <w:rFonts w:ascii="宋体" w:hAnsi="宋体"/>
          <w:b/>
          <w:bCs/>
          <w:sz w:val="21"/>
          <w:szCs w:val="21"/>
        </w:rPr>
      </w:pPr>
      <w:r>
        <w:rPr>
          <w:rFonts w:ascii="宋体" w:hAnsi="宋体"/>
          <w:b/>
          <w:bCs/>
          <w:sz w:val="21"/>
          <w:szCs w:val="21"/>
        </w:rPr>
        <w:t>2.</w:t>
      </w:r>
      <w:r>
        <w:rPr>
          <w:rFonts w:hint="eastAsia" w:ascii="宋体" w:hAnsi="宋体"/>
          <w:b/>
          <w:bCs/>
          <w:sz w:val="21"/>
          <w:szCs w:val="21"/>
        </w:rPr>
        <w:t>项目主要内容（包含但不限于）</w:t>
      </w:r>
    </w:p>
    <w:p>
      <w:pPr>
        <w:spacing w:line="500" w:lineRule="exact"/>
        <w:ind w:firstLine="422" w:firstLineChars="200"/>
        <w:rPr>
          <w:rFonts w:hint="eastAsia" w:ascii="宋体" w:hAnsi="宋体"/>
          <w:b/>
          <w:bCs/>
          <w:sz w:val="21"/>
          <w:szCs w:val="21"/>
        </w:rPr>
      </w:pPr>
      <w:r>
        <w:rPr>
          <w:rFonts w:hint="eastAsia" w:ascii="宋体" w:hAnsi="宋体"/>
          <w:b/>
          <w:bCs/>
          <w:sz w:val="21"/>
          <w:szCs w:val="21"/>
        </w:rPr>
        <w:t>招标范围所述的内容可能不全面，投标人可据实增补，但不得删减。</w:t>
      </w:r>
    </w:p>
    <w:p>
      <w:pPr>
        <w:spacing w:line="500" w:lineRule="exact"/>
        <w:rPr>
          <w:rFonts w:cs="宋体"/>
          <w:sz w:val="21"/>
          <w:szCs w:val="21"/>
        </w:rPr>
      </w:pPr>
      <w:r>
        <w:rPr>
          <w:rFonts w:hint="eastAsia" w:ascii="宋体" w:hAnsi="宋体"/>
          <w:sz w:val="21"/>
          <w:szCs w:val="21"/>
        </w:rPr>
        <w:t>乙方负责</w:t>
      </w:r>
      <w:r>
        <w:rPr>
          <w:rFonts w:ascii="宋体" w:hAnsi="宋体"/>
          <w:sz w:val="21"/>
          <w:szCs w:val="21"/>
          <w:u w:val="single"/>
        </w:rPr>
        <w:t xml:space="preserve">               </w:t>
      </w:r>
      <w:r>
        <w:rPr>
          <w:rFonts w:hint="eastAsia" w:ascii="宋体" w:hAnsi="宋体"/>
          <w:sz w:val="21"/>
          <w:szCs w:val="21"/>
          <w:u w:val="single"/>
        </w:rPr>
        <w:t>改造</w:t>
      </w:r>
      <w:r>
        <w:rPr>
          <w:rFonts w:hint="eastAsia" w:ascii="宋体" w:hAnsi="宋体"/>
          <w:sz w:val="21"/>
          <w:szCs w:val="21"/>
        </w:rPr>
        <w:t>安装调试工作。</w:t>
      </w:r>
      <w:r>
        <w:rPr>
          <w:rFonts w:cs="宋体"/>
          <w:sz w:val="21"/>
          <w:szCs w:val="21"/>
        </w:rPr>
        <w:t xml:space="preserve"> 具体内容为：</w:t>
      </w:r>
    </w:p>
    <w:p>
      <w:pPr>
        <w:spacing w:line="500" w:lineRule="exact"/>
        <w:rPr>
          <w:rFonts w:ascii="宋体" w:hAnsi="宋体"/>
          <w:b/>
          <w:bCs/>
          <w:sz w:val="21"/>
          <w:szCs w:val="21"/>
        </w:rPr>
      </w:pPr>
      <w:r>
        <w:rPr>
          <w:rFonts w:ascii="宋体" w:hAnsi="宋体"/>
          <w:b/>
          <w:bCs/>
          <w:sz w:val="21"/>
          <w:szCs w:val="21"/>
        </w:rPr>
        <w:t>3.</w:t>
      </w:r>
      <w:r>
        <w:rPr>
          <w:rFonts w:hint="eastAsia" w:ascii="宋体" w:hAnsi="宋体"/>
          <w:b/>
          <w:bCs/>
          <w:sz w:val="21"/>
          <w:szCs w:val="21"/>
        </w:rPr>
        <w:t>工期要求</w:t>
      </w:r>
    </w:p>
    <w:p>
      <w:pPr>
        <w:spacing w:line="500" w:lineRule="exact"/>
        <w:rPr>
          <w:rFonts w:ascii="宋体" w:hAnsi="宋体"/>
          <w:sz w:val="21"/>
          <w:szCs w:val="21"/>
        </w:rPr>
      </w:pPr>
      <w:r>
        <w:rPr>
          <w:rFonts w:hint="eastAsia" w:ascii="宋体" w:hAnsi="宋体"/>
          <w:sz w:val="21"/>
          <w:szCs w:val="21"/>
        </w:rPr>
        <w:t>3.1中标单位依据本招标文件技术要求，在收到中标通知后</w:t>
      </w:r>
      <w:r>
        <w:rPr>
          <w:rFonts w:ascii="宋体" w:hAnsi="宋体"/>
          <w:sz w:val="21"/>
          <w:szCs w:val="21"/>
          <w:u w:val="single"/>
        </w:rPr>
        <w:t xml:space="preserve">    </w:t>
      </w:r>
      <w:r>
        <w:rPr>
          <w:rFonts w:hint="eastAsia" w:ascii="宋体" w:hAnsi="宋体"/>
          <w:sz w:val="21"/>
          <w:szCs w:val="21"/>
        </w:rPr>
        <w:t>个日历天向招标单位提交详尽的设计施工方案。</w:t>
      </w:r>
    </w:p>
    <w:p>
      <w:pPr>
        <w:spacing w:line="360" w:lineRule="auto"/>
        <w:rPr>
          <w:rFonts w:ascii="宋体" w:hAnsi="宋体"/>
          <w:sz w:val="21"/>
          <w:szCs w:val="21"/>
        </w:rPr>
      </w:pPr>
      <w:r>
        <w:rPr>
          <w:rFonts w:hint="eastAsia" w:ascii="宋体" w:hAnsi="宋体"/>
          <w:sz w:val="21"/>
          <w:szCs w:val="21"/>
        </w:rPr>
        <w:t>3.</w:t>
      </w:r>
      <w:r>
        <w:rPr>
          <w:rFonts w:ascii="宋体" w:hAnsi="宋体"/>
          <w:sz w:val="21"/>
          <w:szCs w:val="21"/>
        </w:rPr>
        <w:t xml:space="preserve">2 </w:t>
      </w:r>
      <w:r>
        <w:rPr>
          <w:rFonts w:hint="eastAsia" w:ascii="宋体" w:hAnsi="宋体"/>
          <w:sz w:val="21"/>
          <w:szCs w:val="21"/>
        </w:rPr>
        <w:t>按照合同及技术要求进行施工。在</w:t>
      </w:r>
      <w:r>
        <w:rPr>
          <w:rFonts w:ascii="宋体" w:hAnsi="宋体"/>
          <w:sz w:val="21"/>
          <w:szCs w:val="21"/>
          <w:u w:val="single"/>
        </w:rPr>
        <w:t xml:space="preserve">   </w:t>
      </w:r>
      <w:r>
        <w:rPr>
          <w:rFonts w:hint="eastAsia" w:ascii="宋体" w:hAnsi="宋体"/>
          <w:sz w:val="21"/>
          <w:szCs w:val="21"/>
          <w:u w:val="single"/>
        </w:rPr>
        <w:t xml:space="preserve">年 </w:t>
      </w:r>
      <w:r>
        <w:rPr>
          <w:rFonts w:ascii="宋体" w:hAnsi="宋体"/>
          <w:sz w:val="21"/>
          <w:szCs w:val="21"/>
          <w:u w:val="single"/>
        </w:rPr>
        <w:t xml:space="preserve">   </w:t>
      </w:r>
      <w:r>
        <w:rPr>
          <w:rFonts w:hint="eastAsia" w:ascii="宋体" w:hAnsi="宋体"/>
          <w:sz w:val="21"/>
          <w:szCs w:val="21"/>
          <w:u w:val="single"/>
        </w:rPr>
        <w:t xml:space="preserve">月 </w:t>
      </w:r>
      <w:r>
        <w:rPr>
          <w:rFonts w:ascii="宋体" w:hAnsi="宋体"/>
          <w:sz w:val="21"/>
          <w:szCs w:val="21"/>
          <w:u w:val="single"/>
        </w:rPr>
        <w:t xml:space="preserve">   </w:t>
      </w:r>
      <w:r>
        <w:rPr>
          <w:rFonts w:hint="eastAsia" w:ascii="宋体" w:hAnsi="宋体"/>
          <w:sz w:val="21"/>
          <w:szCs w:val="21"/>
          <w:u w:val="single"/>
        </w:rPr>
        <w:t>日</w:t>
      </w:r>
      <w:r>
        <w:rPr>
          <w:rFonts w:hint="eastAsia" w:ascii="宋体" w:hAnsi="宋体"/>
          <w:sz w:val="21"/>
          <w:szCs w:val="21"/>
        </w:rPr>
        <w:t>前必须完成竣工验收工作。每延期一天罚款</w:t>
      </w:r>
      <w:r>
        <w:rPr>
          <w:rFonts w:ascii="宋体" w:hAnsi="宋体"/>
          <w:sz w:val="21"/>
          <w:szCs w:val="21"/>
          <w:u w:val="single"/>
        </w:rPr>
        <w:t xml:space="preserve">      </w:t>
      </w:r>
      <w:r>
        <w:rPr>
          <w:rFonts w:hint="eastAsia" w:ascii="宋体" w:hAnsi="宋体"/>
          <w:sz w:val="21"/>
          <w:szCs w:val="21"/>
        </w:rPr>
        <w:t>元，延期超</w:t>
      </w:r>
      <w:r>
        <w:rPr>
          <w:rFonts w:hint="eastAsia" w:ascii="宋体" w:hAnsi="宋体"/>
          <w:sz w:val="21"/>
          <w:szCs w:val="21"/>
          <w:u w:val="single"/>
        </w:rPr>
        <w:t xml:space="preserve">   </w:t>
      </w:r>
      <w:r>
        <w:rPr>
          <w:rFonts w:hint="eastAsia" w:ascii="宋体" w:hAnsi="宋体"/>
          <w:sz w:val="21"/>
          <w:szCs w:val="21"/>
        </w:rPr>
        <w:t>天，甲方有权解除合同，乙方将赔偿因工程延期带来的一切损失。</w:t>
      </w:r>
    </w:p>
    <w:p>
      <w:pPr>
        <w:spacing w:line="360" w:lineRule="auto"/>
        <w:rPr>
          <w:rFonts w:hint="eastAsia" w:ascii="宋体" w:hAnsi="宋体"/>
          <w:sz w:val="21"/>
          <w:szCs w:val="21"/>
        </w:rPr>
      </w:pPr>
      <w:r>
        <w:rPr>
          <w:rFonts w:hint="eastAsia" w:ascii="宋体" w:hAnsi="宋体"/>
          <w:sz w:val="21"/>
          <w:szCs w:val="21"/>
        </w:rPr>
        <w:t>3</w:t>
      </w:r>
      <w:r>
        <w:rPr>
          <w:rFonts w:ascii="宋体" w:hAnsi="宋体"/>
          <w:sz w:val="21"/>
          <w:szCs w:val="21"/>
        </w:rPr>
        <w:t>.3</w:t>
      </w:r>
      <w:r>
        <w:rPr>
          <w:rFonts w:hint="eastAsia" w:ascii="宋体" w:hAnsi="宋体"/>
          <w:sz w:val="21"/>
          <w:szCs w:val="21"/>
        </w:rPr>
        <w:t>施工工期：</w:t>
      </w:r>
      <w:r>
        <w:rPr>
          <w:rFonts w:ascii="宋体" w:hAnsi="宋体"/>
          <w:sz w:val="21"/>
          <w:szCs w:val="21"/>
          <w:u w:val="single"/>
        </w:rPr>
        <w:t xml:space="preserve">   </w:t>
      </w:r>
      <w:r>
        <w:rPr>
          <w:rFonts w:hint="eastAsia" w:ascii="宋体" w:hAnsi="宋体"/>
          <w:sz w:val="21"/>
          <w:szCs w:val="21"/>
        </w:rPr>
        <w:t>日历天，具体时间按甲方实际需求，甲方提前一周通知乙方。如因甲方原因未按计划开工日期开工的，甲方应按实际开工日期顺延竣工日期，确保实际工期不低于合同约定的工期总日历天数。</w:t>
      </w:r>
    </w:p>
    <w:p>
      <w:pPr>
        <w:spacing w:line="360" w:lineRule="auto"/>
        <w:rPr>
          <w:rFonts w:hint="eastAsia" w:ascii="宋体" w:hAnsi="宋体"/>
          <w:sz w:val="21"/>
          <w:szCs w:val="21"/>
        </w:rPr>
      </w:pPr>
      <w:r>
        <w:rPr>
          <w:rFonts w:hint="eastAsia" w:ascii="宋体" w:hAnsi="宋体"/>
          <w:sz w:val="21"/>
          <w:szCs w:val="21"/>
        </w:rPr>
        <w:t>施工人员安排：此项目施工人员总人数</w:t>
      </w:r>
      <w:r>
        <w:rPr>
          <w:rFonts w:ascii="宋体" w:hAnsi="宋体"/>
          <w:sz w:val="21"/>
          <w:szCs w:val="21"/>
          <w:u w:val="single"/>
        </w:rPr>
        <w:t xml:space="preserve">   </w:t>
      </w:r>
      <w:r>
        <w:rPr>
          <w:rFonts w:hint="eastAsia" w:ascii="宋体" w:hAnsi="宋体"/>
          <w:sz w:val="21"/>
          <w:szCs w:val="21"/>
        </w:rPr>
        <w:t>人以上。</w:t>
      </w:r>
    </w:p>
    <w:p>
      <w:pPr>
        <w:spacing w:line="500" w:lineRule="exact"/>
        <w:rPr>
          <w:rFonts w:ascii="宋体" w:hAnsi="宋体"/>
          <w:b/>
          <w:bCs/>
          <w:sz w:val="21"/>
          <w:szCs w:val="21"/>
        </w:rPr>
      </w:pPr>
      <w:r>
        <w:rPr>
          <w:rFonts w:ascii="宋体" w:hAnsi="宋体"/>
          <w:b/>
          <w:bCs/>
          <w:sz w:val="21"/>
          <w:szCs w:val="21"/>
        </w:rPr>
        <w:t>4.</w:t>
      </w:r>
      <w:r>
        <w:rPr>
          <w:rFonts w:hint="eastAsia" w:ascii="宋体" w:hAnsi="宋体"/>
          <w:b/>
          <w:bCs/>
          <w:sz w:val="21"/>
          <w:szCs w:val="21"/>
        </w:rPr>
        <w:t>合同价款</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728"/>
        <w:gridCol w:w="1026"/>
        <w:gridCol w:w="1118"/>
        <w:gridCol w:w="1716"/>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26" w:type="dxa"/>
            <w:noWrap w:val="0"/>
            <w:vAlign w:val="top"/>
          </w:tcPr>
          <w:p>
            <w:pPr>
              <w:spacing w:line="360" w:lineRule="auto"/>
              <w:rPr>
                <w:rFonts w:hint="eastAsia" w:ascii="宋体" w:hAnsi="宋体"/>
                <w:sz w:val="21"/>
                <w:szCs w:val="21"/>
              </w:rPr>
            </w:pPr>
            <w:r>
              <w:rPr>
                <w:rFonts w:hint="eastAsia" w:ascii="宋体" w:hAnsi="宋体"/>
                <w:sz w:val="21"/>
                <w:szCs w:val="21"/>
              </w:rPr>
              <w:t>序号</w:t>
            </w:r>
          </w:p>
        </w:tc>
        <w:tc>
          <w:tcPr>
            <w:tcW w:w="2026" w:type="dxa"/>
            <w:noWrap w:val="0"/>
            <w:vAlign w:val="top"/>
          </w:tcPr>
          <w:p>
            <w:pPr>
              <w:spacing w:line="360" w:lineRule="auto"/>
              <w:rPr>
                <w:rFonts w:hint="eastAsia" w:ascii="宋体" w:hAnsi="宋体"/>
                <w:sz w:val="21"/>
                <w:szCs w:val="21"/>
              </w:rPr>
            </w:pPr>
            <w:r>
              <w:rPr>
                <w:rFonts w:hint="eastAsia" w:ascii="宋体" w:hAnsi="宋体"/>
                <w:sz w:val="21"/>
                <w:szCs w:val="21"/>
              </w:rPr>
              <w:t>名称</w:t>
            </w:r>
          </w:p>
        </w:tc>
        <w:tc>
          <w:tcPr>
            <w:tcW w:w="1164" w:type="dxa"/>
            <w:noWrap w:val="0"/>
            <w:vAlign w:val="top"/>
          </w:tcPr>
          <w:p>
            <w:pPr>
              <w:spacing w:line="360" w:lineRule="auto"/>
              <w:rPr>
                <w:rFonts w:hint="eastAsia" w:ascii="宋体" w:hAnsi="宋体"/>
                <w:sz w:val="21"/>
                <w:szCs w:val="21"/>
              </w:rPr>
            </w:pPr>
            <w:r>
              <w:rPr>
                <w:rFonts w:hint="eastAsia" w:ascii="宋体" w:hAnsi="宋体"/>
                <w:sz w:val="21"/>
                <w:szCs w:val="21"/>
              </w:rPr>
              <w:t>单位</w:t>
            </w:r>
          </w:p>
        </w:tc>
        <w:tc>
          <w:tcPr>
            <w:tcW w:w="1277" w:type="dxa"/>
            <w:noWrap w:val="0"/>
            <w:vAlign w:val="top"/>
          </w:tcPr>
          <w:p>
            <w:pPr>
              <w:spacing w:line="360" w:lineRule="auto"/>
              <w:rPr>
                <w:rFonts w:hint="eastAsia" w:ascii="宋体" w:hAnsi="宋体"/>
                <w:sz w:val="21"/>
                <w:szCs w:val="21"/>
              </w:rPr>
            </w:pPr>
            <w:r>
              <w:rPr>
                <w:rFonts w:hint="eastAsia" w:ascii="宋体" w:hAnsi="宋体"/>
                <w:sz w:val="21"/>
                <w:szCs w:val="21"/>
              </w:rPr>
              <w:t>数量</w:t>
            </w:r>
          </w:p>
        </w:tc>
        <w:tc>
          <w:tcPr>
            <w:tcW w:w="1915" w:type="dxa"/>
            <w:noWrap w:val="0"/>
            <w:vAlign w:val="top"/>
          </w:tcPr>
          <w:p>
            <w:pPr>
              <w:spacing w:line="360" w:lineRule="auto"/>
              <w:rPr>
                <w:rFonts w:hint="eastAsia" w:ascii="宋体" w:hAnsi="宋体"/>
                <w:sz w:val="21"/>
                <w:szCs w:val="21"/>
              </w:rPr>
            </w:pPr>
            <w:r>
              <w:rPr>
                <w:rFonts w:hint="eastAsia" w:ascii="宋体" w:hAnsi="宋体"/>
                <w:sz w:val="21"/>
                <w:szCs w:val="21"/>
              </w:rPr>
              <w:t>单价（元）</w:t>
            </w:r>
          </w:p>
        </w:tc>
        <w:tc>
          <w:tcPr>
            <w:tcW w:w="2126" w:type="dxa"/>
            <w:noWrap w:val="0"/>
            <w:vAlign w:val="top"/>
          </w:tcPr>
          <w:p>
            <w:pPr>
              <w:spacing w:line="360" w:lineRule="auto"/>
              <w:rPr>
                <w:rFonts w:hint="eastAsia" w:ascii="宋体" w:hAnsi="宋体"/>
                <w:sz w:val="21"/>
                <w:szCs w:val="21"/>
              </w:rPr>
            </w:pPr>
            <w:r>
              <w:rPr>
                <w:rFonts w:hint="eastAsia" w:ascii="宋体" w:hAnsi="宋体"/>
                <w:sz w:val="21"/>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26" w:type="dxa"/>
            <w:noWrap w:val="0"/>
            <w:vAlign w:val="top"/>
          </w:tcPr>
          <w:p>
            <w:pPr>
              <w:spacing w:line="360" w:lineRule="auto"/>
              <w:rPr>
                <w:rFonts w:hint="eastAsia" w:ascii="宋体" w:hAnsi="宋体" w:eastAsia="等线" w:cs="宋体"/>
                <w:kern w:val="0"/>
                <w:sz w:val="21"/>
                <w:szCs w:val="21"/>
              </w:rPr>
            </w:pPr>
          </w:p>
        </w:tc>
        <w:tc>
          <w:tcPr>
            <w:tcW w:w="2026" w:type="dxa"/>
            <w:noWrap w:val="0"/>
            <w:vAlign w:val="top"/>
          </w:tcPr>
          <w:p>
            <w:pPr>
              <w:spacing w:line="360" w:lineRule="auto"/>
              <w:rPr>
                <w:rFonts w:hint="eastAsia" w:ascii="宋体" w:hAnsi="宋体" w:eastAsia="等线" w:cs="宋体"/>
                <w:kern w:val="0"/>
                <w:sz w:val="21"/>
                <w:szCs w:val="21"/>
              </w:rPr>
            </w:pPr>
          </w:p>
        </w:tc>
        <w:tc>
          <w:tcPr>
            <w:tcW w:w="1164" w:type="dxa"/>
            <w:noWrap w:val="0"/>
            <w:vAlign w:val="top"/>
          </w:tcPr>
          <w:p>
            <w:pPr>
              <w:spacing w:line="360" w:lineRule="auto"/>
              <w:rPr>
                <w:rFonts w:hint="eastAsia" w:ascii="宋体" w:hAnsi="宋体" w:eastAsia="等线" w:cs="宋体"/>
                <w:kern w:val="0"/>
                <w:sz w:val="21"/>
                <w:szCs w:val="21"/>
              </w:rPr>
            </w:pPr>
          </w:p>
        </w:tc>
        <w:tc>
          <w:tcPr>
            <w:tcW w:w="1277" w:type="dxa"/>
            <w:noWrap w:val="0"/>
            <w:vAlign w:val="top"/>
          </w:tcPr>
          <w:p>
            <w:pPr>
              <w:spacing w:line="360" w:lineRule="auto"/>
              <w:rPr>
                <w:rFonts w:hint="eastAsia" w:ascii="宋体" w:hAnsi="宋体" w:eastAsia="等线" w:cs="宋体"/>
                <w:kern w:val="0"/>
                <w:sz w:val="21"/>
                <w:szCs w:val="21"/>
              </w:rPr>
            </w:pPr>
          </w:p>
        </w:tc>
        <w:tc>
          <w:tcPr>
            <w:tcW w:w="1915" w:type="dxa"/>
            <w:noWrap w:val="0"/>
            <w:vAlign w:val="top"/>
          </w:tcPr>
          <w:p>
            <w:pPr>
              <w:spacing w:line="360" w:lineRule="auto"/>
              <w:rPr>
                <w:rFonts w:hint="eastAsia" w:ascii="宋体" w:hAnsi="宋体" w:eastAsia="等线" w:cs="宋体"/>
                <w:kern w:val="0"/>
                <w:sz w:val="21"/>
                <w:szCs w:val="21"/>
              </w:rPr>
            </w:pPr>
          </w:p>
        </w:tc>
        <w:tc>
          <w:tcPr>
            <w:tcW w:w="2126" w:type="dxa"/>
            <w:noWrap w:val="0"/>
            <w:vAlign w:val="top"/>
          </w:tcPr>
          <w:p>
            <w:pPr>
              <w:spacing w:line="360" w:lineRule="auto"/>
              <w:rPr>
                <w:rFonts w:hint="eastAsia" w:ascii="宋体" w:hAnsi="宋体" w:eastAsia="等线"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734" w:type="dxa"/>
            <w:gridSpan w:val="6"/>
            <w:noWrap w:val="0"/>
            <w:vAlign w:val="top"/>
          </w:tcPr>
          <w:p>
            <w:pPr>
              <w:spacing w:line="360" w:lineRule="auto"/>
              <w:rPr>
                <w:rFonts w:hint="eastAsia" w:ascii="宋体" w:hAnsi="宋体" w:cs="宋体"/>
                <w:kern w:val="0"/>
                <w:sz w:val="21"/>
                <w:szCs w:val="21"/>
              </w:rPr>
            </w:pPr>
            <w:r>
              <w:rPr>
                <w:rFonts w:hint="eastAsia" w:ascii="宋体" w:hAnsi="宋体" w:cs="宋体"/>
                <w:kern w:val="0"/>
                <w:sz w:val="21"/>
                <w:szCs w:val="21"/>
              </w:rPr>
              <w:t xml:space="preserve">合计： </w:t>
            </w:r>
            <w:r>
              <w:rPr>
                <w:rFonts w:ascii="宋体" w:hAnsi="宋体" w:cs="宋体"/>
                <w:kern w:val="0"/>
                <w:sz w:val="21"/>
                <w:szCs w:val="21"/>
              </w:rPr>
              <w:t xml:space="preserve">   元，大写：</w:t>
            </w:r>
            <w:r>
              <w:rPr>
                <w:rFonts w:hint="eastAsia" w:ascii="宋体" w:hAnsi="宋体" w:cs="宋体"/>
                <w:kern w:val="0"/>
                <w:sz w:val="21"/>
                <w:szCs w:val="21"/>
              </w:rPr>
              <w:t xml:space="preserve"> </w:t>
            </w:r>
            <w:r>
              <w:rPr>
                <w:rFonts w:ascii="宋体" w:hAnsi="宋体" w:cs="宋体"/>
                <w:kern w:val="0"/>
                <w:sz w:val="21"/>
                <w:szCs w:val="21"/>
              </w:rPr>
              <w:t xml:space="preserve">             税率：</w:t>
            </w:r>
            <w:r>
              <w:rPr>
                <w:rFonts w:hint="eastAsia" w:ascii="宋体" w:hAnsi="宋体" w:cs="宋体"/>
                <w:kern w:val="0"/>
                <w:sz w:val="21"/>
                <w:szCs w:val="21"/>
              </w:rPr>
              <w:t xml:space="preserve"> </w:t>
            </w:r>
            <w:r>
              <w:rPr>
                <w:rFonts w:ascii="宋体" w:hAnsi="宋体" w:cs="宋体"/>
                <w:kern w:val="0"/>
                <w:sz w:val="21"/>
                <w:szCs w:val="21"/>
              </w:rPr>
              <w:t xml:space="preserve">       不含税金额：</w:t>
            </w:r>
          </w:p>
        </w:tc>
      </w:tr>
    </w:tbl>
    <w:p>
      <w:pPr>
        <w:spacing w:line="360" w:lineRule="auto"/>
        <w:ind w:firstLine="420" w:firstLineChars="200"/>
        <w:rPr>
          <w:rFonts w:hint="eastAsia" w:ascii="宋体" w:hAnsi="宋体"/>
          <w:sz w:val="21"/>
          <w:szCs w:val="21"/>
        </w:rPr>
      </w:pPr>
      <w:r>
        <w:rPr>
          <w:rFonts w:hint="eastAsia" w:ascii="宋体" w:hAnsi="宋体" w:cs="宋体"/>
          <w:kern w:val="0"/>
          <w:sz w:val="21"/>
          <w:szCs w:val="21"/>
        </w:rPr>
        <w:t>（最终结算以甲方聘请的第三方审计单位实际审定金额为准）</w:t>
      </w:r>
    </w:p>
    <w:p>
      <w:pPr>
        <w:spacing w:line="500" w:lineRule="exact"/>
        <w:rPr>
          <w:rFonts w:hint="eastAsia" w:ascii="宋体" w:hAnsi="宋体"/>
          <w:b/>
          <w:bCs/>
          <w:sz w:val="21"/>
          <w:szCs w:val="21"/>
        </w:rPr>
      </w:pPr>
      <w:r>
        <w:rPr>
          <w:rFonts w:ascii="宋体" w:hAnsi="宋体"/>
          <w:b/>
          <w:bCs/>
          <w:sz w:val="21"/>
          <w:szCs w:val="21"/>
        </w:rPr>
        <w:t>5.</w:t>
      </w:r>
      <w:r>
        <w:rPr>
          <w:rFonts w:hint="eastAsia" w:ascii="宋体" w:hAnsi="宋体"/>
          <w:b/>
          <w:bCs/>
          <w:sz w:val="21"/>
          <w:szCs w:val="21"/>
        </w:rPr>
        <w:t>设备材料供应</w:t>
      </w:r>
    </w:p>
    <w:p>
      <w:pPr>
        <w:spacing w:line="500" w:lineRule="exact"/>
        <w:rPr>
          <w:rFonts w:ascii="宋体" w:hAnsi="宋体"/>
          <w:sz w:val="21"/>
          <w:szCs w:val="21"/>
        </w:rPr>
      </w:pPr>
      <w:r>
        <w:rPr>
          <w:rFonts w:hint="eastAsia" w:ascii="宋体" w:hAnsi="宋体"/>
          <w:sz w:val="21"/>
          <w:szCs w:val="21"/>
        </w:rPr>
        <w:t>5.1所有物料由</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提供，包括但不局限于：</w:t>
      </w:r>
    </w:p>
    <w:p>
      <w:pPr>
        <w:spacing w:line="500" w:lineRule="exact"/>
        <w:rPr>
          <w:rFonts w:hint="eastAsia" w:ascii="宋体" w:hAnsi="宋体"/>
          <w:b/>
          <w:bCs/>
          <w:sz w:val="21"/>
          <w:szCs w:val="21"/>
        </w:rPr>
      </w:pPr>
      <w:r>
        <w:rPr>
          <w:rFonts w:ascii="宋体" w:hAnsi="宋体"/>
          <w:b/>
          <w:bCs/>
          <w:sz w:val="21"/>
          <w:szCs w:val="21"/>
        </w:rPr>
        <w:t>6.</w:t>
      </w:r>
      <w:r>
        <w:rPr>
          <w:rFonts w:hint="eastAsia"/>
          <w:sz w:val="21"/>
          <w:szCs w:val="21"/>
        </w:rPr>
        <w:t xml:space="preserve"> </w:t>
      </w:r>
      <w:r>
        <w:rPr>
          <w:rFonts w:hint="eastAsia" w:ascii="宋体" w:hAnsi="宋体"/>
          <w:b/>
          <w:bCs/>
          <w:sz w:val="21"/>
          <w:szCs w:val="21"/>
        </w:rPr>
        <w:t>施工质量</w:t>
      </w:r>
    </w:p>
    <w:p>
      <w:pPr>
        <w:spacing w:line="500" w:lineRule="exact"/>
        <w:rPr>
          <w:rFonts w:ascii="宋体" w:hAnsi="宋体"/>
          <w:sz w:val="21"/>
          <w:szCs w:val="21"/>
        </w:rPr>
      </w:pPr>
      <w:r>
        <w:rPr>
          <w:rFonts w:hint="eastAsia" w:ascii="宋体" w:hAnsi="宋体"/>
          <w:sz w:val="21"/>
          <w:szCs w:val="21"/>
        </w:rPr>
        <w:t>6.1本改造项目质保期</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个月</w:t>
      </w:r>
    </w:p>
    <w:p>
      <w:pPr>
        <w:spacing w:line="500" w:lineRule="exact"/>
        <w:rPr>
          <w:rFonts w:ascii="宋体" w:hAnsi="宋体"/>
          <w:b/>
          <w:bCs/>
          <w:sz w:val="21"/>
          <w:szCs w:val="21"/>
        </w:rPr>
      </w:pPr>
      <w:r>
        <w:rPr>
          <w:rFonts w:ascii="宋体" w:hAnsi="宋体"/>
          <w:b/>
          <w:bCs/>
          <w:sz w:val="21"/>
          <w:szCs w:val="21"/>
        </w:rPr>
        <w:t>7.</w:t>
      </w:r>
      <w:r>
        <w:rPr>
          <w:rFonts w:hint="eastAsia"/>
          <w:sz w:val="21"/>
          <w:szCs w:val="21"/>
        </w:rPr>
        <w:t xml:space="preserve"> </w:t>
      </w:r>
      <w:r>
        <w:rPr>
          <w:rFonts w:hint="eastAsia" w:ascii="宋体" w:hAnsi="宋体"/>
          <w:b/>
          <w:bCs/>
          <w:sz w:val="21"/>
          <w:szCs w:val="21"/>
        </w:rPr>
        <w:t>项目管理</w:t>
      </w:r>
    </w:p>
    <w:p>
      <w:pPr>
        <w:spacing w:line="360" w:lineRule="auto"/>
        <w:jc w:val="left"/>
        <w:rPr>
          <w:rFonts w:hint="eastAsia" w:ascii="宋体" w:hAnsi="宋体"/>
          <w:sz w:val="21"/>
          <w:szCs w:val="21"/>
        </w:rPr>
      </w:pPr>
      <w:r>
        <w:rPr>
          <w:rFonts w:ascii="宋体" w:hAnsi="宋体"/>
          <w:sz w:val="21"/>
          <w:szCs w:val="21"/>
        </w:rPr>
        <w:t xml:space="preserve">7.1 </w:t>
      </w:r>
      <w:r>
        <w:rPr>
          <w:rFonts w:hint="eastAsia" w:ascii="宋体" w:hAnsi="宋体"/>
          <w:sz w:val="21"/>
          <w:szCs w:val="21"/>
        </w:rPr>
        <w:t>乙方应确保项目范围内所有特殊专业工程，均依照国家规定由具有相应资质的单位实施。</w:t>
      </w:r>
    </w:p>
    <w:p>
      <w:pPr>
        <w:spacing w:line="500" w:lineRule="exact"/>
        <w:rPr>
          <w:rFonts w:ascii="宋体" w:hAnsi="宋体"/>
          <w:sz w:val="21"/>
          <w:szCs w:val="21"/>
        </w:rPr>
      </w:pPr>
      <w:r>
        <w:rPr>
          <w:rFonts w:ascii="宋体" w:hAnsi="宋体"/>
          <w:sz w:val="21"/>
          <w:szCs w:val="21"/>
        </w:rPr>
        <w:t xml:space="preserve">7.2 </w:t>
      </w:r>
      <w:r>
        <w:rPr>
          <w:rFonts w:hint="eastAsia" w:ascii="宋体" w:hAnsi="宋体"/>
          <w:sz w:val="21"/>
          <w:szCs w:val="21"/>
        </w:rPr>
        <w:t>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Pr>
          <w:rFonts w:ascii="宋体" w:hAnsi="宋体"/>
          <w:sz w:val="21"/>
          <w:szCs w:val="21"/>
          <w:u w:val="single"/>
        </w:rPr>
        <w:t xml:space="preserve">      </w:t>
      </w:r>
      <w:r>
        <w:rPr>
          <w:rFonts w:hint="eastAsia" w:ascii="宋体" w:hAnsi="宋体"/>
          <w:sz w:val="21"/>
          <w:szCs w:val="21"/>
        </w:rPr>
        <w:t>的违约金。</w:t>
      </w:r>
    </w:p>
    <w:p>
      <w:pPr>
        <w:spacing w:line="500" w:lineRule="exact"/>
        <w:rPr>
          <w:rFonts w:ascii="宋体" w:hAnsi="宋体"/>
          <w:sz w:val="21"/>
          <w:szCs w:val="21"/>
        </w:rPr>
      </w:pPr>
      <w:r>
        <w:rPr>
          <w:rFonts w:ascii="宋体" w:hAnsi="宋体"/>
          <w:sz w:val="21"/>
          <w:szCs w:val="21"/>
        </w:rPr>
        <w:t xml:space="preserve">7.3 </w:t>
      </w:r>
      <w:r>
        <w:rPr>
          <w:rFonts w:hint="eastAsia" w:ascii="宋体" w:hAnsi="宋体"/>
          <w:sz w:val="21"/>
          <w:szCs w:val="21"/>
        </w:rPr>
        <w:t>乙方应制定详细施工组织技术方案，并需得到甲方确认，严格按照已确认的方案组织实施，并无条件接受甲方管理。</w:t>
      </w:r>
    </w:p>
    <w:p>
      <w:pPr>
        <w:spacing w:line="500" w:lineRule="exact"/>
        <w:rPr>
          <w:rFonts w:ascii="宋体" w:hAnsi="宋体"/>
          <w:sz w:val="21"/>
          <w:szCs w:val="21"/>
        </w:rPr>
      </w:pPr>
      <w:r>
        <w:rPr>
          <w:rFonts w:ascii="宋体" w:hAnsi="宋体"/>
          <w:sz w:val="21"/>
          <w:szCs w:val="21"/>
        </w:rPr>
        <w:t xml:space="preserve">7.4 </w:t>
      </w:r>
      <w:r>
        <w:rPr>
          <w:rFonts w:hint="eastAsia" w:ascii="宋体" w:hAnsi="宋体"/>
          <w:sz w:val="21"/>
          <w:szCs w:val="21"/>
        </w:rPr>
        <w:t>乙方在投标文件中确定的项目经理或现场负责人、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pPr>
        <w:spacing w:line="500" w:lineRule="exact"/>
        <w:rPr>
          <w:rFonts w:ascii="宋体" w:hAnsi="宋体"/>
          <w:sz w:val="21"/>
          <w:szCs w:val="21"/>
        </w:rPr>
      </w:pPr>
      <w:r>
        <w:rPr>
          <w:rFonts w:ascii="宋体" w:hAnsi="宋体"/>
          <w:sz w:val="21"/>
          <w:szCs w:val="21"/>
        </w:rPr>
        <w:t xml:space="preserve">7.5 </w:t>
      </w:r>
      <w:r>
        <w:rPr>
          <w:rFonts w:hint="eastAsia" w:ascii="宋体" w:hAnsi="宋体"/>
          <w:sz w:val="21"/>
          <w:szCs w:val="21"/>
        </w:rPr>
        <w:t>所有由乙方提供的设备材料的质量问题均由乙方负责。由于设备材料的交货延期、质量不合格等问题而造成的损失均由乙方负责。</w:t>
      </w:r>
    </w:p>
    <w:p>
      <w:pPr>
        <w:spacing w:line="500" w:lineRule="exact"/>
        <w:rPr>
          <w:rFonts w:ascii="宋体" w:hAnsi="宋体"/>
          <w:sz w:val="21"/>
          <w:szCs w:val="21"/>
        </w:rPr>
      </w:pPr>
      <w:r>
        <w:rPr>
          <w:rFonts w:ascii="宋体" w:hAnsi="宋体"/>
          <w:sz w:val="21"/>
          <w:szCs w:val="21"/>
        </w:rPr>
        <w:t xml:space="preserve">7.6 </w:t>
      </w:r>
      <w:r>
        <w:rPr>
          <w:rFonts w:hint="eastAsia" w:ascii="宋体" w:hAnsi="宋体"/>
          <w:sz w:val="21"/>
          <w:szCs w:val="21"/>
        </w:rPr>
        <w:t>安全施工、文明管理</w:t>
      </w:r>
    </w:p>
    <w:p>
      <w:pPr>
        <w:spacing w:line="500" w:lineRule="exact"/>
        <w:ind w:firstLine="420" w:firstLineChars="200"/>
        <w:rPr>
          <w:rFonts w:ascii="宋体" w:hAnsi="宋体"/>
          <w:sz w:val="21"/>
          <w:szCs w:val="21"/>
        </w:rPr>
      </w:pPr>
      <w:r>
        <w:rPr>
          <w:rFonts w:hint="eastAsia" w:ascii="宋体" w:hAnsi="宋体"/>
          <w:sz w:val="21"/>
          <w:szCs w:val="21"/>
        </w:rPr>
        <w:t>本工程必须达到项目所在地以及甲方公司的安全、环保工地要求。</w:t>
      </w:r>
    </w:p>
    <w:p>
      <w:pPr>
        <w:spacing w:line="500" w:lineRule="exact"/>
        <w:rPr>
          <w:rFonts w:hint="eastAsia" w:ascii="宋体" w:hAnsi="宋体"/>
          <w:sz w:val="21"/>
          <w:szCs w:val="21"/>
        </w:rPr>
      </w:pPr>
      <w:r>
        <w:rPr>
          <w:rFonts w:ascii="宋体" w:hAnsi="宋体"/>
          <w:sz w:val="21"/>
          <w:szCs w:val="21"/>
        </w:rPr>
        <w:t xml:space="preserve">7.6.1 </w:t>
      </w:r>
      <w:r>
        <w:rPr>
          <w:rFonts w:hint="eastAsia" w:ascii="宋体" w:hAnsi="宋体"/>
          <w:sz w:val="21"/>
          <w:szCs w:val="21"/>
        </w:rPr>
        <w:t>乙方服从当地政府有关部门在社会治安、综合治理、计划生育、交通 管理、环境保护等的管理规定，乙方应设专职人员负责本条款的执行，甲方有权对此进行监督检查。</w:t>
      </w:r>
    </w:p>
    <w:p>
      <w:pPr>
        <w:spacing w:line="500" w:lineRule="exact"/>
        <w:rPr>
          <w:rFonts w:hint="eastAsia" w:ascii="宋体" w:hAnsi="宋体"/>
          <w:sz w:val="21"/>
          <w:szCs w:val="21"/>
        </w:rPr>
      </w:pPr>
      <w:r>
        <w:rPr>
          <w:rFonts w:ascii="宋体" w:hAnsi="宋体"/>
          <w:sz w:val="21"/>
          <w:szCs w:val="21"/>
        </w:rPr>
        <w:t xml:space="preserve">7.6.2 </w:t>
      </w:r>
      <w:r>
        <w:rPr>
          <w:rFonts w:hint="eastAsia" w:ascii="宋体" w:hAnsi="宋体"/>
          <w:sz w:val="21"/>
          <w:szCs w:val="21"/>
        </w:rPr>
        <w:t>乙方应有详细的施工安全措施和安全管理组织及配备专职负责人的说明和承诺，以确保安全生产。</w:t>
      </w:r>
    </w:p>
    <w:p>
      <w:pPr>
        <w:spacing w:line="500" w:lineRule="exact"/>
        <w:rPr>
          <w:rFonts w:hint="eastAsia" w:ascii="宋体" w:hAnsi="宋体"/>
          <w:sz w:val="21"/>
          <w:szCs w:val="21"/>
        </w:rPr>
      </w:pPr>
      <w:r>
        <w:rPr>
          <w:rFonts w:ascii="宋体" w:hAnsi="宋体"/>
          <w:sz w:val="21"/>
          <w:szCs w:val="21"/>
        </w:rPr>
        <w:t xml:space="preserve">7.6.3 </w:t>
      </w:r>
      <w:r>
        <w:rPr>
          <w:rFonts w:hint="eastAsia" w:ascii="宋体" w:hAnsi="宋体"/>
          <w:sz w:val="21"/>
          <w:szCs w:val="21"/>
        </w:rPr>
        <w:t>乙方在工程施工期间，必须配备专职安全管理人员，全面负责施工过程中安全的管理。</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.4乙方在施工全过程中，要认真做好设备、材料和成品的保护，因失窃失火或其他原因而造成的损失均由乙方负责。凡由此而损及甲方利益时，乙方应负责赔偿甲方的损失。</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.5</w:t>
      </w:r>
      <w:r>
        <w:rPr>
          <w:rFonts w:ascii="宋体" w:hAnsi="宋体"/>
          <w:sz w:val="21"/>
          <w:szCs w:val="21"/>
        </w:rPr>
        <w:t xml:space="preserve"> </w:t>
      </w:r>
      <w:r>
        <w:rPr>
          <w:rFonts w:hint="eastAsia" w:ascii="宋体" w:hAnsi="宋体"/>
          <w:sz w:val="21"/>
          <w:szCs w:val="21"/>
        </w:rPr>
        <w:t>在工程施工过程中的一切安全事故，由乙方承担全部经济责任和法律责任。</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.6乙方因自身施工而对相邻工程施工造成影响，由乙方采取措施解决，费用由乙方负担。</w:t>
      </w:r>
    </w:p>
    <w:p>
      <w:pPr>
        <w:spacing w:line="500" w:lineRule="exact"/>
        <w:rPr>
          <w:rFonts w:ascii="宋体" w:hAnsi="宋体"/>
          <w:b/>
          <w:bCs/>
          <w:sz w:val="21"/>
          <w:szCs w:val="21"/>
        </w:rPr>
      </w:pPr>
      <w:r>
        <w:rPr>
          <w:rFonts w:ascii="宋体" w:hAnsi="宋体"/>
          <w:b/>
          <w:bCs/>
          <w:sz w:val="21"/>
          <w:szCs w:val="21"/>
        </w:rPr>
        <w:t>8.</w:t>
      </w:r>
      <w:r>
        <w:rPr>
          <w:rFonts w:hint="eastAsia"/>
          <w:sz w:val="21"/>
          <w:szCs w:val="21"/>
        </w:rPr>
        <w:t xml:space="preserve"> </w:t>
      </w:r>
      <w:r>
        <w:rPr>
          <w:rFonts w:hint="eastAsia" w:ascii="宋体" w:hAnsi="宋体"/>
          <w:b/>
          <w:bCs/>
          <w:sz w:val="21"/>
          <w:szCs w:val="21"/>
        </w:rPr>
        <w:t>安装及现场工作</w:t>
      </w:r>
    </w:p>
    <w:p>
      <w:pPr>
        <w:spacing w:line="500" w:lineRule="exact"/>
        <w:rPr>
          <w:rFonts w:hint="eastAsia" w:ascii="宋体" w:hAnsi="宋体"/>
          <w:sz w:val="21"/>
          <w:szCs w:val="21"/>
        </w:rPr>
      </w:pPr>
      <w:r>
        <w:rPr>
          <w:rFonts w:ascii="宋体" w:hAnsi="宋体"/>
          <w:sz w:val="21"/>
          <w:szCs w:val="21"/>
        </w:rPr>
        <w:t xml:space="preserve">8.1 </w:t>
      </w:r>
      <w:r>
        <w:rPr>
          <w:rFonts w:hint="eastAsia" w:ascii="宋体" w:hAnsi="宋体"/>
          <w:sz w:val="21"/>
          <w:szCs w:val="21"/>
        </w:rPr>
        <w:t>乙方应负责与设备(货物)组装、安装、检测及调试有关的所有工作。</w:t>
      </w:r>
    </w:p>
    <w:p>
      <w:pPr>
        <w:spacing w:line="500" w:lineRule="exact"/>
        <w:rPr>
          <w:rFonts w:hint="eastAsia" w:ascii="宋体" w:hAnsi="宋体"/>
          <w:sz w:val="21"/>
          <w:szCs w:val="21"/>
        </w:rPr>
      </w:pPr>
      <w:r>
        <w:rPr>
          <w:rFonts w:ascii="宋体" w:hAnsi="宋体"/>
          <w:sz w:val="21"/>
          <w:szCs w:val="21"/>
        </w:rPr>
        <w:t xml:space="preserve">8.2 </w:t>
      </w:r>
      <w:r>
        <w:rPr>
          <w:rFonts w:hint="eastAsia" w:ascii="宋体" w:hAnsi="宋体"/>
          <w:sz w:val="21"/>
          <w:szCs w:val="21"/>
        </w:rPr>
        <w:t>乙方至少应提前</w:t>
      </w:r>
      <w:r>
        <w:rPr>
          <w:rFonts w:ascii="宋体" w:hAnsi="宋体"/>
          <w:sz w:val="21"/>
          <w:szCs w:val="21"/>
          <w:u w:val="single"/>
        </w:rPr>
        <w:t xml:space="preserve">    </w:t>
      </w:r>
      <w:r>
        <w:rPr>
          <w:rFonts w:hint="eastAsia" w:ascii="宋体" w:hAnsi="宋体"/>
          <w:sz w:val="21"/>
          <w:szCs w:val="21"/>
        </w:rPr>
        <w:t>周以技术文件的形式通知甲方其在安装、调试和检测期间所需的平均最大电力要求及其他现场要求等。</w:t>
      </w:r>
    </w:p>
    <w:p>
      <w:pPr>
        <w:spacing w:line="500" w:lineRule="exact"/>
        <w:rPr>
          <w:rFonts w:hint="eastAsia" w:ascii="宋体" w:hAnsi="宋体"/>
          <w:sz w:val="21"/>
          <w:szCs w:val="21"/>
        </w:rPr>
      </w:pPr>
      <w:r>
        <w:rPr>
          <w:rFonts w:ascii="宋体" w:hAnsi="宋体"/>
          <w:sz w:val="21"/>
          <w:szCs w:val="21"/>
        </w:rPr>
        <w:t xml:space="preserve">8.3 </w:t>
      </w:r>
      <w:r>
        <w:rPr>
          <w:rFonts w:hint="eastAsia" w:ascii="宋体" w:hAnsi="宋体"/>
          <w:sz w:val="21"/>
          <w:szCs w:val="21"/>
        </w:rPr>
        <w:t>乙方至少应提前</w:t>
      </w:r>
      <w:r>
        <w:rPr>
          <w:rFonts w:ascii="宋体" w:hAnsi="宋体"/>
          <w:sz w:val="21"/>
          <w:szCs w:val="21"/>
          <w:u w:val="single"/>
        </w:rPr>
        <w:t xml:space="preserve">    </w:t>
      </w:r>
      <w:r>
        <w:rPr>
          <w:rFonts w:hint="eastAsia" w:ascii="宋体" w:hAnsi="宋体"/>
          <w:sz w:val="21"/>
          <w:szCs w:val="21"/>
        </w:rPr>
        <w:t>周准备并呈交甲方一份设备安装的详细计划，以征得甲方的批准，该计划应包括安装过程中的所有细节（至少含进度和安装工艺规程）。</w:t>
      </w:r>
    </w:p>
    <w:p>
      <w:pPr>
        <w:spacing w:line="500" w:lineRule="exact"/>
        <w:rPr>
          <w:rFonts w:hint="eastAsia" w:ascii="宋体" w:hAnsi="宋体"/>
          <w:sz w:val="21"/>
          <w:szCs w:val="21"/>
        </w:rPr>
      </w:pPr>
      <w:r>
        <w:rPr>
          <w:rFonts w:ascii="宋体" w:hAnsi="宋体"/>
          <w:sz w:val="21"/>
          <w:szCs w:val="21"/>
        </w:rPr>
        <w:t xml:space="preserve">8.4 </w:t>
      </w:r>
      <w:r>
        <w:rPr>
          <w:rFonts w:hint="eastAsia" w:ascii="宋体" w:hAnsi="宋体"/>
          <w:sz w:val="21"/>
          <w:szCs w:val="21"/>
        </w:rPr>
        <w:t>在执行现场工作期间，乙方必须安排一名长住现场的项目经理或现场负责人。</w:t>
      </w:r>
    </w:p>
    <w:p>
      <w:pPr>
        <w:spacing w:line="500" w:lineRule="exact"/>
        <w:rPr>
          <w:rFonts w:hint="eastAsia" w:ascii="宋体" w:hAnsi="宋体"/>
          <w:sz w:val="21"/>
          <w:szCs w:val="21"/>
        </w:rPr>
      </w:pPr>
      <w:r>
        <w:rPr>
          <w:rFonts w:ascii="宋体" w:hAnsi="宋体"/>
          <w:sz w:val="21"/>
          <w:szCs w:val="21"/>
        </w:rPr>
        <w:t xml:space="preserve">8.5 </w:t>
      </w:r>
      <w:r>
        <w:rPr>
          <w:rFonts w:hint="eastAsia" w:ascii="宋体" w:hAnsi="宋体"/>
          <w:sz w:val="21"/>
          <w:szCs w:val="21"/>
        </w:rPr>
        <w:t>项目经理或现场负责人作为乙方在现场的代表，有权代表乙方处理合同执行过程中出现的所有现场的技术和行政事项。</w:t>
      </w:r>
    </w:p>
    <w:p>
      <w:pPr>
        <w:spacing w:line="500" w:lineRule="exact"/>
        <w:rPr>
          <w:rFonts w:hint="eastAsia" w:ascii="宋体" w:hAnsi="宋体"/>
          <w:sz w:val="21"/>
          <w:szCs w:val="21"/>
        </w:rPr>
      </w:pPr>
      <w:r>
        <w:rPr>
          <w:rFonts w:ascii="宋体" w:hAnsi="宋体"/>
          <w:sz w:val="21"/>
          <w:szCs w:val="21"/>
        </w:rPr>
        <w:t xml:space="preserve">8.6 </w:t>
      </w:r>
      <w:r>
        <w:rPr>
          <w:rFonts w:hint="eastAsia" w:ascii="宋体" w:hAnsi="宋体"/>
          <w:sz w:val="21"/>
          <w:szCs w:val="21"/>
        </w:rPr>
        <w:t>乙方应该按图纸和甲方代表书面确认的永久标记和参考坐标，准确地确定设备的位置。</w:t>
      </w:r>
    </w:p>
    <w:p>
      <w:pPr>
        <w:spacing w:line="500" w:lineRule="exact"/>
        <w:rPr>
          <w:rFonts w:hint="eastAsia" w:ascii="宋体" w:hAnsi="宋体"/>
          <w:sz w:val="21"/>
          <w:szCs w:val="21"/>
        </w:rPr>
      </w:pPr>
      <w:r>
        <w:rPr>
          <w:rFonts w:ascii="宋体" w:hAnsi="宋体"/>
          <w:sz w:val="21"/>
          <w:szCs w:val="21"/>
        </w:rPr>
        <w:t xml:space="preserve">8.7 </w:t>
      </w:r>
      <w:r>
        <w:rPr>
          <w:rFonts w:hint="eastAsia" w:ascii="宋体" w:hAnsi="宋体"/>
          <w:sz w:val="21"/>
          <w:szCs w:val="21"/>
        </w:rPr>
        <w:t>乙方在根据其他承包人提供的数据进行施工前，必须对所有的数据进行核验，因此无论何时，一旦发现设备的位置、标高、排列发生错误，乙方应立即通知甲方代表，并自行修正错误，承担所发生的费用。</w:t>
      </w:r>
    </w:p>
    <w:p>
      <w:pPr>
        <w:spacing w:line="500" w:lineRule="exact"/>
        <w:rPr>
          <w:rFonts w:hint="eastAsia" w:ascii="宋体" w:hAnsi="宋体"/>
          <w:sz w:val="21"/>
          <w:szCs w:val="21"/>
        </w:rPr>
      </w:pPr>
      <w:r>
        <w:rPr>
          <w:rFonts w:ascii="宋体" w:hAnsi="宋体"/>
          <w:sz w:val="21"/>
          <w:szCs w:val="21"/>
        </w:rPr>
        <w:t xml:space="preserve">8.8 </w:t>
      </w:r>
      <w:r>
        <w:rPr>
          <w:rFonts w:hint="eastAsia" w:ascii="宋体" w:hAnsi="宋体"/>
          <w:sz w:val="21"/>
          <w:szCs w:val="21"/>
        </w:rPr>
        <w:t>乙方应提供所有必要的设备和设施，保证合同范围内的工作顺利、按期进行。所有带到现场的设备应是为本工程所需要的设备。</w:t>
      </w:r>
    </w:p>
    <w:p>
      <w:pPr>
        <w:spacing w:line="500" w:lineRule="exact"/>
        <w:rPr>
          <w:rFonts w:hint="eastAsia" w:ascii="宋体" w:hAnsi="宋体"/>
          <w:sz w:val="21"/>
          <w:szCs w:val="21"/>
        </w:rPr>
      </w:pPr>
      <w:r>
        <w:rPr>
          <w:rFonts w:ascii="宋体" w:hAnsi="宋体"/>
          <w:sz w:val="21"/>
          <w:szCs w:val="21"/>
        </w:rPr>
        <w:t xml:space="preserve">8.9 </w:t>
      </w:r>
      <w:r>
        <w:rPr>
          <w:rFonts w:hint="eastAsia" w:ascii="宋体" w:hAnsi="宋体"/>
          <w:sz w:val="21"/>
          <w:szCs w:val="21"/>
        </w:rPr>
        <w:t>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pPr>
        <w:spacing w:line="500" w:lineRule="exact"/>
        <w:rPr>
          <w:rFonts w:hint="eastAsia" w:ascii="宋体" w:hAnsi="宋体"/>
          <w:sz w:val="21"/>
          <w:szCs w:val="21"/>
        </w:rPr>
      </w:pPr>
      <w:r>
        <w:rPr>
          <w:rFonts w:ascii="宋体" w:hAnsi="宋体"/>
          <w:sz w:val="21"/>
          <w:szCs w:val="21"/>
        </w:rPr>
        <w:t xml:space="preserve">8.10 </w:t>
      </w:r>
      <w:r>
        <w:rPr>
          <w:rFonts w:hint="eastAsia" w:ascii="宋体" w:hAnsi="宋体"/>
          <w:sz w:val="21"/>
          <w:szCs w:val="21"/>
        </w:rPr>
        <w:t>设备检查</w:t>
      </w:r>
    </w:p>
    <w:p>
      <w:pPr>
        <w:spacing w:line="500" w:lineRule="exact"/>
        <w:rPr>
          <w:rFonts w:hint="eastAsia" w:ascii="宋体" w:hAnsi="宋体"/>
          <w:sz w:val="21"/>
          <w:szCs w:val="21"/>
        </w:rPr>
      </w:pPr>
      <w:r>
        <w:rPr>
          <w:rFonts w:ascii="宋体" w:hAnsi="宋体"/>
          <w:sz w:val="21"/>
          <w:szCs w:val="21"/>
        </w:rPr>
        <w:t>8.10.1</w:t>
      </w:r>
      <w:r>
        <w:rPr>
          <w:rFonts w:hint="eastAsia" w:ascii="宋体" w:hAnsi="宋体"/>
          <w:sz w:val="21"/>
          <w:szCs w:val="21"/>
        </w:rPr>
        <w:t>甲方保留在乙方制造期间检查货物或零部件的权利，以及获得图纸及测试结果的权利，以保证所提供的所有货物符合认可的技术要求。乙方应为甲方的此种检查提供支持。</w:t>
      </w:r>
    </w:p>
    <w:p>
      <w:pPr>
        <w:spacing w:line="500" w:lineRule="exact"/>
        <w:rPr>
          <w:rFonts w:hint="eastAsia" w:ascii="宋体" w:hAnsi="宋体"/>
          <w:sz w:val="21"/>
          <w:szCs w:val="21"/>
        </w:rPr>
      </w:pPr>
      <w:r>
        <w:rPr>
          <w:rFonts w:ascii="宋体" w:hAnsi="宋体"/>
          <w:sz w:val="21"/>
          <w:szCs w:val="21"/>
        </w:rPr>
        <w:t>8.10.2</w:t>
      </w:r>
      <w:r>
        <w:rPr>
          <w:rFonts w:hint="eastAsia" w:ascii="宋体" w:hAnsi="宋体"/>
          <w:sz w:val="21"/>
          <w:szCs w:val="21"/>
        </w:rPr>
        <w:t>甲方可授权其代表来进行上述检查。甲方进行或不进行设备检查都不得解除乙方依据合同所需履行的任何义务。</w:t>
      </w:r>
    </w:p>
    <w:p>
      <w:pPr>
        <w:spacing w:line="500" w:lineRule="exact"/>
        <w:rPr>
          <w:rFonts w:hint="eastAsia" w:ascii="宋体" w:hAnsi="宋体"/>
          <w:sz w:val="21"/>
          <w:szCs w:val="21"/>
        </w:rPr>
      </w:pPr>
      <w:r>
        <w:rPr>
          <w:rFonts w:ascii="宋体" w:hAnsi="宋体"/>
          <w:sz w:val="21"/>
          <w:szCs w:val="21"/>
        </w:rPr>
        <w:t>8.10.3</w:t>
      </w:r>
      <w:r>
        <w:rPr>
          <w:rFonts w:hint="eastAsia" w:ascii="宋体" w:hAnsi="宋体"/>
          <w:sz w:val="21"/>
          <w:szCs w:val="21"/>
        </w:rPr>
        <w:t>所需的任何测试应由乙方出资进行，并应符合相关规则和标准指定的程序。检测期间，对发现缺陷的设备或设备部件，甲方有权要求重复测试。</w:t>
      </w:r>
    </w:p>
    <w:p>
      <w:pPr>
        <w:spacing w:line="500" w:lineRule="exact"/>
        <w:rPr>
          <w:rFonts w:ascii="宋体" w:hAnsi="宋体"/>
          <w:sz w:val="21"/>
          <w:szCs w:val="21"/>
        </w:rPr>
      </w:pPr>
      <w:r>
        <w:rPr>
          <w:rFonts w:ascii="宋体" w:hAnsi="宋体"/>
          <w:sz w:val="21"/>
          <w:szCs w:val="21"/>
        </w:rPr>
        <w:t>8.10.4</w:t>
      </w:r>
      <w:r>
        <w:rPr>
          <w:rFonts w:hint="eastAsia" w:ascii="宋体" w:hAnsi="宋体"/>
          <w:sz w:val="21"/>
          <w:szCs w:val="21"/>
        </w:rPr>
        <w:t>尽管经过检测和/或测试，对安装以后发现缺陷的设备或设备部件，甲方仍可以拒绝，乙方需予以无条件更换。</w:t>
      </w:r>
    </w:p>
    <w:p>
      <w:pPr>
        <w:spacing w:line="500" w:lineRule="exact"/>
        <w:rPr>
          <w:rFonts w:hint="eastAsia" w:ascii="宋体" w:hAnsi="宋体"/>
          <w:b/>
          <w:bCs/>
          <w:sz w:val="21"/>
          <w:szCs w:val="21"/>
        </w:rPr>
      </w:pPr>
      <w:r>
        <w:rPr>
          <w:rFonts w:ascii="宋体" w:hAnsi="宋体"/>
          <w:b/>
          <w:bCs/>
          <w:sz w:val="21"/>
          <w:szCs w:val="21"/>
        </w:rPr>
        <w:t>9.</w:t>
      </w:r>
      <w:r>
        <w:rPr>
          <w:rFonts w:hint="eastAsia" w:ascii="宋体" w:hAnsi="宋体"/>
          <w:b/>
          <w:bCs/>
          <w:sz w:val="21"/>
          <w:szCs w:val="21"/>
        </w:rPr>
        <w:t>运输和保险</w:t>
      </w:r>
    </w:p>
    <w:p>
      <w:pPr>
        <w:spacing w:line="500" w:lineRule="exact"/>
        <w:rPr>
          <w:rFonts w:ascii="宋体" w:hAnsi="宋体"/>
          <w:sz w:val="21"/>
          <w:szCs w:val="21"/>
        </w:rPr>
      </w:pPr>
      <w:r>
        <w:rPr>
          <w:rFonts w:hint="eastAsia" w:ascii="宋体" w:hAnsi="宋体"/>
          <w:sz w:val="21"/>
          <w:szCs w:val="21"/>
        </w:rPr>
        <w:t>9.1货物材料的运输、卸车与保险由乙方负责。</w:t>
      </w:r>
    </w:p>
    <w:p>
      <w:pPr>
        <w:spacing w:line="500" w:lineRule="exact"/>
        <w:rPr>
          <w:rFonts w:hint="eastAsia" w:ascii="宋体" w:hAnsi="宋体"/>
          <w:b/>
          <w:bCs/>
          <w:sz w:val="21"/>
          <w:szCs w:val="21"/>
        </w:rPr>
      </w:pPr>
      <w:r>
        <w:rPr>
          <w:rFonts w:ascii="宋体" w:hAnsi="宋体"/>
          <w:b/>
          <w:bCs/>
          <w:sz w:val="21"/>
          <w:szCs w:val="21"/>
        </w:rPr>
        <w:t>10.</w:t>
      </w:r>
      <w:r>
        <w:rPr>
          <w:rFonts w:hint="eastAsia"/>
          <w:sz w:val="21"/>
          <w:szCs w:val="21"/>
        </w:rPr>
        <w:t xml:space="preserve"> </w:t>
      </w:r>
      <w:r>
        <w:rPr>
          <w:rFonts w:hint="eastAsia" w:ascii="宋体" w:hAnsi="宋体"/>
          <w:b/>
          <w:bCs/>
          <w:sz w:val="21"/>
          <w:szCs w:val="21"/>
        </w:rPr>
        <w:t>调试及验收测试</w:t>
      </w:r>
    </w:p>
    <w:p>
      <w:pPr>
        <w:spacing w:line="500" w:lineRule="exact"/>
        <w:rPr>
          <w:rFonts w:hint="eastAsia" w:ascii="宋体" w:hAnsi="宋体"/>
          <w:sz w:val="21"/>
          <w:szCs w:val="21"/>
        </w:rPr>
      </w:pPr>
      <w:r>
        <w:rPr>
          <w:rFonts w:ascii="宋体" w:hAnsi="宋体"/>
          <w:sz w:val="21"/>
          <w:szCs w:val="21"/>
        </w:rPr>
        <w:t>10.1</w:t>
      </w:r>
      <w:r>
        <w:rPr>
          <w:rFonts w:hint="eastAsia" w:ascii="宋体" w:hAnsi="宋体"/>
          <w:sz w:val="21"/>
          <w:szCs w:val="21"/>
        </w:rPr>
        <w:t>在现场组装及安装后，乙方应负责设备的单机空载调试和联机空载、有载调试，以保证设备在满载条件下的正常运行。</w:t>
      </w:r>
    </w:p>
    <w:p>
      <w:pPr>
        <w:spacing w:line="500" w:lineRule="exact"/>
        <w:rPr>
          <w:rFonts w:hint="eastAsia" w:ascii="宋体" w:hAnsi="宋体"/>
          <w:sz w:val="21"/>
          <w:szCs w:val="21"/>
        </w:rPr>
      </w:pPr>
      <w:r>
        <w:rPr>
          <w:rFonts w:ascii="宋体" w:hAnsi="宋体"/>
          <w:sz w:val="21"/>
          <w:szCs w:val="21"/>
        </w:rPr>
        <w:t>10.2</w:t>
      </w:r>
      <w:r>
        <w:rPr>
          <w:rFonts w:hint="eastAsia" w:ascii="宋体" w:hAnsi="宋体"/>
          <w:sz w:val="21"/>
          <w:szCs w:val="21"/>
        </w:rPr>
        <w:t>调试开始，乙方应记录所有调试过程的所有情况，记录应包括所有遇到的问题或故障的时间及性质。</w:t>
      </w:r>
    </w:p>
    <w:p>
      <w:pPr>
        <w:spacing w:line="500" w:lineRule="exact"/>
        <w:rPr>
          <w:rFonts w:hint="eastAsia" w:ascii="宋体" w:hAnsi="宋体"/>
          <w:sz w:val="21"/>
          <w:szCs w:val="21"/>
        </w:rPr>
      </w:pPr>
      <w:r>
        <w:rPr>
          <w:rFonts w:ascii="宋体" w:hAnsi="宋体"/>
          <w:sz w:val="21"/>
          <w:szCs w:val="21"/>
        </w:rPr>
        <w:t>10.3</w:t>
      </w:r>
      <w:r>
        <w:rPr>
          <w:rFonts w:hint="eastAsia" w:ascii="宋体" w:hAnsi="宋体"/>
          <w:sz w:val="21"/>
          <w:szCs w:val="21"/>
        </w:rPr>
        <w:t>空载调试合格后，乙方应立即进行所有设备的验收测试。</w:t>
      </w:r>
    </w:p>
    <w:p>
      <w:pPr>
        <w:spacing w:line="500" w:lineRule="exact"/>
        <w:rPr>
          <w:rFonts w:ascii="宋体" w:hAnsi="宋体"/>
          <w:sz w:val="21"/>
          <w:szCs w:val="21"/>
        </w:rPr>
      </w:pPr>
      <w:r>
        <w:rPr>
          <w:rFonts w:ascii="宋体" w:hAnsi="宋体"/>
          <w:sz w:val="21"/>
          <w:szCs w:val="21"/>
        </w:rPr>
        <w:t>10.</w:t>
      </w:r>
      <w:r>
        <w:rPr>
          <w:rFonts w:hint="eastAsia" w:ascii="宋体" w:hAnsi="宋体"/>
          <w:sz w:val="21"/>
          <w:szCs w:val="21"/>
        </w:rPr>
        <w:t>4由甲方签发的验收证书不能免除乙方在质量保证期前或期间按合同条款所应履行的责任。</w:t>
      </w:r>
    </w:p>
    <w:p>
      <w:pPr>
        <w:spacing w:line="500" w:lineRule="exact"/>
        <w:rPr>
          <w:rFonts w:hint="eastAsia" w:ascii="宋体" w:hAnsi="宋体"/>
          <w:b/>
          <w:bCs/>
          <w:sz w:val="21"/>
          <w:szCs w:val="21"/>
        </w:rPr>
      </w:pPr>
      <w:r>
        <w:rPr>
          <w:rFonts w:ascii="宋体" w:hAnsi="宋体"/>
          <w:b/>
          <w:bCs/>
          <w:sz w:val="21"/>
          <w:szCs w:val="21"/>
        </w:rPr>
        <w:t xml:space="preserve">11. </w:t>
      </w:r>
      <w:r>
        <w:rPr>
          <w:rFonts w:hint="eastAsia" w:ascii="宋体" w:hAnsi="宋体"/>
          <w:b/>
          <w:bCs/>
          <w:sz w:val="21"/>
          <w:szCs w:val="21"/>
        </w:rPr>
        <w:t>培训和技术服务</w:t>
      </w:r>
    </w:p>
    <w:p>
      <w:pPr>
        <w:spacing w:line="500" w:lineRule="exact"/>
        <w:rPr>
          <w:rFonts w:hint="eastAsia" w:ascii="宋体" w:hAnsi="宋体"/>
          <w:sz w:val="21"/>
          <w:szCs w:val="21"/>
        </w:rPr>
      </w:pPr>
      <w:r>
        <w:rPr>
          <w:rFonts w:ascii="宋体" w:hAnsi="宋体"/>
          <w:sz w:val="21"/>
          <w:szCs w:val="21"/>
        </w:rPr>
        <w:t>11.1</w:t>
      </w:r>
      <w:r>
        <w:rPr>
          <w:rFonts w:hint="eastAsia" w:ascii="宋体" w:hAnsi="宋体"/>
          <w:sz w:val="21"/>
          <w:szCs w:val="21"/>
        </w:rPr>
        <w:t>乙方应负责对甲方的操作和维修的人员进行培训。</w:t>
      </w:r>
    </w:p>
    <w:p>
      <w:pPr>
        <w:spacing w:line="500" w:lineRule="exact"/>
        <w:rPr>
          <w:rFonts w:hint="eastAsia" w:ascii="宋体" w:hAnsi="宋体"/>
          <w:b/>
          <w:bCs/>
          <w:sz w:val="21"/>
          <w:szCs w:val="21"/>
        </w:rPr>
      </w:pPr>
      <w:r>
        <w:rPr>
          <w:rFonts w:ascii="宋体" w:hAnsi="宋体"/>
          <w:b/>
          <w:bCs/>
          <w:sz w:val="21"/>
          <w:szCs w:val="21"/>
        </w:rPr>
        <w:t xml:space="preserve">12. </w:t>
      </w:r>
      <w:r>
        <w:rPr>
          <w:rFonts w:hint="eastAsia" w:ascii="宋体" w:hAnsi="宋体"/>
          <w:b/>
          <w:bCs/>
          <w:sz w:val="21"/>
          <w:szCs w:val="21"/>
        </w:rPr>
        <w:t>质量保证期</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2.1</w:t>
      </w:r>
      <w:r>
        <w:rPr>
          <w:rFonts w:hint="eastAsia" w:ascii="宋体" w:hAnsi="宋体"/>
          <w:sz w:val="21"/>
          <w:szCs w:val="21"/>
        </w:rPr>
        <w:t>本项目的质保期为设备投入运行并通过相关部门验收合格后的</w:t>
      </w:r>
      <w:r>
        <w:rPr>
          <w:rFonts w:ascii="宋体" w:hAnsi="宋体"/>
          <w:sz w:val="21"/>
          <w:szCs w:val="21"/>
          <w:u w:val="single"/>
        </w:rPr>
        <w:t xml:space="preserve">     </w:t>
      </w:r>
      <w:r>
        <w:rPr>
          <w:rFonts w:hint="eastAsia" w:ascii="宋体" w:hAnsi="宋体"/>
          <w:sz w:val="21"/>
          <w:szCs w:val="21"/>
        </w:rPr>
        <w:t>个月。</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2.2</w:t>
      </w:r>
      <w:r>
        <w:rPr>
          <w:rFonts w:hint="eastAsia" w:ascii="宋体" w:hAnsi="宋体"/>
          <w:sz w:val="21"/>
          <w:szCs w:val="21"/>
        </w:rPr>
        <w:t>在质保期内，乙方应承担对其承建内容所有有缺陷的设备或零部件进行更换和/或修理的费用(不包括正常磨损)。</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2.3</w:t>
      </w:r>
      <w:r>
        <w:rPr>
          <w:rFonts w:hint="eastAsia" w:ascii="宋体" w:hAnsi="宋体"/>
          <w:sz w:val="21"/>
          <w:szCs w:val="21"/>
        </w:rPr>
        <w:t>在质保期内，如更换设备或部件，乙方除按上述条款执行外，所更换的故障部件的质保期重新计算。</w:t>
      </w:r>
    </w:p>
    <w:p>
      <w:pPr>
        <w:spacing w:line="500" w:lineRule="exact"/>
        <w:rPr>
          <w:rFonts w:hint="eastAsia" w:ascii="宋体" w:hAnsi="宋体"/>
          <w:b/>
          <w:bCs/>
          <w:sz w:val="21"/>
          <w:szCs w:val="21"/>
        </w:rPr>
      </w:pPr>
      <w:r>
        <w:rPr>
          <w:rFonts w:ascii="宋体" w:hAnsi="宋体"/>
          <w:b/>
          <w:bCs/>
          <w:sz w:val="21"/>
          <w:szCs w:val="21"/>
        </w:rPr>
        <w:t xml:space="preserve">13. </w:t>
      </w:r>
      <w:r>
        <w:rPr>
          <w:rFonts w:hint="eastAsia" w:ascii="宋体" w:hAnsi="宋体"/>
          <w:b/>
          <w:bCs/>
          <w:sz w:val="21"/>
          <w:szCs w:val="21"/>
        </w:rPr>
        <w:t>工程验收与保修</w:t>
      </w:r>
    </w:p>
    <w:p>
      <w:pPr>
        <w:spacing w:line="500" w:lineRule="exact"/>
        <w:rPr>
          <w:rFonts w:hint="eastAsia" w:ascii="宋体" w:hAnsi="宋体"/>
          <w:sz w:val="21"/>
          <w:szCs w:val="21"/>
        </w:rPr>
      </w:pPr>
      <w:r>
        <w:rPr>
          <w:rFonts w:ascii="宋体" w:hAnsi="宋体"/>
          <w:sz w:val="21"/>
          <w:szCs w:val="21"/>
        </w:rPr>
        <w:t>13.</w:t>
      </w:r>
      <w:r>
        <w:rPr>
          <w:rFonts w:hint="eastAsia" w:ascii="宋体" w:hAnsi="宋体"/>
          <w:sz w:val="21"/>
          <w:szCs w:val="21"/>
        </w:rPr>
        <w:t>1乙方应按照工程建设的有关规定，及时如实整理施工记录和技术资料，并由甲方相关负责人进行检验和签证。</w:t>
      </w:r>
    </w:p>
    <w:p>
      <w:pPr>
        <w:spacing w:line="500" w:lineRule="exact"/>
        <w:rPr>
          <w:rFonts w:hint="eastAsia" w:ascii="宋体" w:hAnsi="宋体"/>
          <w:sz w:val="21"/>
          <w:szCs w:val="21"/>
        </w:rPr>
      </w:pPr>
      <w:r>
        <w:rPr>
          <w:rFonts w:ascii="宋体" w:hAnsi="宋体"/>
          <w:sz w:val="21"/>
          <w:szCs w:val="21"/>
        </w:rPr>
        <w:t>13.</w:t>
      </w:r>
      <w:r>
        <w:rPr>
          <w:rFonts w:hint="eastAsia" w:ascii="宋体" w:hAnsi="宋体"/>
          <w:sz w:val="21"/>
          <w:szCs w:val="21"/>
        </w:rPr>
        <w:t>2当全部合同工程完工，准备交工验收前，乙方应将由施工引起的垃圾、废料或各种障碍物全部清除。并按城建档案部门的要求，整理提交竣工资料。</w:t>
      </w:r>
    </w:p>
    <w:p>
      <w:pPr>
        <w:spacing w:line="500" w:lineRule="exact"/>
        <w:rPr>
          <w:rFonts w:hint="eastAsia" w:ascii="宋体" w:hAnsi="宋体"/>
          <w:sz w:val="21"/>
          <w:szCs w:val="21"/>
        </w:rPr>
      </w:pPr>
      <w:r>
        <w:rPr>
          <w:rFonts w:hint="eastAsia" w:ascii="宋体" w:hAnsi="宋体"/>
          <w:sz w:val="21"/>
          <w:szCs w:val="21"/>
        </w:rPr>
        <w:t>13.2.1当具备交工验收条件时，乙方应提前</w:t>
      </w:r>
      <w:r>
        <w:rPr>
          <w:rFonts w:ascii="宋体" w:hAnsi="宋体"/>
          <w:sz w:val="21"/>
          <w:szCs w:val="21"/>
          <w:u w:val="single"/>
        </w:rPr>
        <w:t xml:space="preserve">     </w:t>
      </w:r>
      <w:r>
        <w:rPr>
          <w:rFonts w:hint="eastAsia" w:ascii="宋体" w:hAnsi="宋体"/>
          <w:sz w:val="21"/>
          <w:szCs w:val="21"/>
        </w:rPr>
        <w:t>天提交工程竣工验收报告，通知甲方组织验收。甲方自接到验收报告和上述主要竣工资料后</w:t>
      </w:r>
      <w:r>
        <w:rPr>
          <w:rFonts w:ascii="宋体" w:hAnsi="宋体"/>
          <w:sz w:val="21"/>
          <w:szCs w:val="21"/>
          <w:u w:val="single"/>
        </w:rPr>
        <w:t xml:space="preserve">     </w:t>
      </w:r>
      <w:r>
        <w:rPr>
          <w:rFonts w:hint="eastAsia" w:ascii="宋体" w:hAnsi="宋体"/>
          <w:sz w:val="21"/>
          <w:szCs w:val="21"/>
        </w:rPr>
        <w:t>天内，应组织有关部门对工程进行验收。</w:t>
      </w:r>
    </w:p>
    <w:p>
      <w:pPr>
        <w:spacing w:line="500" w:lineRule="exact"/>
        <w:rPr>
          <w:rFonts w:hint="eastAsia" w:ascii="宋体" w:hAnsi="宋体"/>
          <w:sz w:val="21"/>
          <w:szCs w:val="21"/>
        </w:rPr>
      </w:pPr>
      <w:r>
        <w:rPr>
          <w:rFonts w:hint="eastAsia" w:ascii="宋体" w:hAnsi="宋体"/>
          <w:sz w:val="21"/>
          <w:szCs w:val="21"/>
        </w:rPr>
        <w:t>13.2.2在验收中，如发现有不合格工程，乙方应无条件进行整改或返工，直到验收合格方能签署验收证书。由于施工原因进行整改或返工所增加的费用和延误的工期由乙方负责。</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sz w:val="21"/>
          <w:szCs w:val="21"/>
        </w:rPr>
      </w:pPr>
      <w:r>
        <w:rPr>
          <w:rFonts w:hint="eastAsia" w:ascii="宋体" w:hAnsi="宋体"/>
          <w:sz w:val="21"/>
          <w:szCs w:val="21"/>
        </w:rPr>
        <w:t>13.2.3全部工程验收合格，自签署工程验收证书之日起</w:t>
      </w:r>
      <w:r>
        <w:rPr>
          <w:rFonts w:ascii="宋体" w:hAnsi="宋体"/>
          <w:sz w:val="21"/>
          <w:szCs w:val="21"/>
          <w:u w:val="single"/>
        </w:rPr>
        <w:t xml:space="preserve">     </w:t>
      </w:r>
      <w:r>
        <w:rPr>
          <w:rFonts w:hint="eastAsia" w:ascii="宋体" w:hAnsi="宋体"/>
          <w:sz w:val="21"/>
          <w:szCs w:val="21"/>
        </w:rPr>
        <w:t>天内，乙方的人员、机具和材料必须全部退场，并按规定内容整理交齐全部竣工资料。</w:t>
      </w:r>
    </w:p>
    <w:p>
      <w:pPr>
        <w:keepNext w:val="0"/>
        <w:keepLines w:val="0"/>
        <w:pageBreakBefore w:val="0"/>
        <w:widowControl w:val="0"/>
        <w:kinsoku/>
        <w:wordWrap/>
        <w:overflowPunct/>
        <w:topLinePunct w:val="0"/>
        <w:autoSpaceDE/>
        <w:autoSpaceDN/>
        <w:bidi w:val="0"/>
        <w:adjustRightInd/>
        <w:snapToGrid/>
        <w:spacing w:line="480" w:lineRule="auto"/>
        <w:textAlignment w:val="auto"/>
        <w:rPr>
          <w:sz w:val="21"/>
          <w:szCs w:val="21"/>
        </w:rPr>
      </w:pPr>
      <w:r>
        <w:rPr>
          <w:rFonts w:ascii="宋体" w:hAnsi="宋体"/>
          <w:sz w:val="21"/>
          <w:szCs w:val="21"/>
        </w:rPr>
        <w:t>13.</w:t>
      </w:r>
      <w:r>
        <w:rPr>
          <w:rFonts w:hint="eastAsia" w:ascii="宋体" w:hAnsi="宋体"/>
          <w:sz w:val="21"/>
          <w:szCs w:val="21"/>
        </w:rPr>
        <w:t>3</w:t>
      </w:r>
      <w:r>
        <w:rPr>
          <w:rFonts w:ascii="宋体" w:hAnsi="宋体"/>
          <w:sz w:val="21"/>
          <w:szCs w:val="21"/>
        </w:rPr>
        <w:t xml:space="preserve"> </w:t>
      </w:r>
      <w:r>
        <w:rPr>
          <w:rFonts w:hint="eastAsia" w:ascii="宋体" w:hAnsi="宋体"/>
          <w:sz w:val="21"/>
          <w:szCs w:val="21"/>
        </w:rPr>
        <w:t>若拖延清场，按拖延工期处罚。竣工资料不齐者，不予办理工程结算。</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b/>
          <w:bCs/>
          <w:sz w:val="21"/>
          <w:szCs w:val="21"/>
        </w:rPr>
      </w:pPr>
      <w:r>
        <w:rPr>
          <w:rFonts w:ascii="宋体" w:hAnsi="宋体"/>
          <w:b/>
          <w:bCs/>
          <w:sz w:val="21"/>
          <w:szCs w:val="21"/>
        </w:rPr>
        <w:t xml:space="preserve">14. </w:t>
      </w:r>
      <w:r>
        <w:rPr>
          <w:rFonts w:hint="eastAsia" w:ascii="宋体" w:hAnsi="宋体"/>
          <w:b/>
          <w:bCs/>
          <w:sz w:val="21"/>
          <w:szCs w:val="21"/>
        </w:rPr>
        <w:t>付款方式</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宋体" w:hAnsi="宋体"/>
          <w:sz w:val="21"/>
          <w:szCs w:val="21"/>
        </w:rPr>
      </w:pPr>
      <w:r>
        <w:rPr>
          <w:rFonts w:ascii="宋体" w:hAnsi="宋体"/>
          <w:sz w:val="21"/>
          <w:szCs w:val="21"/>
        </w:rPr>
        <w:t>14.</w:t>
      </w:r>
      <w:r>
        <w:rPr>
          <w:rFonts w:hint="eastAsia" w:ascii="宋体" w:hAnsi="宋体"/>
          <w:sz w:val="21"/>
          <w:szCs w:val="21"/>
        </w:rPr>
        <w:t>1、工程结算：审计单位由甲方委托，乙方按照审计单位所要求的材料清单准备资料，并确保资料真实完整，乙方在报送结算时要控制送审金额，如竣工结算审计核减率高于5%的，超出5%部分的审计费用由乙方承担。　</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宋体" w:hAnsi="宋体"/>
          <w:sz w:val="21"/>
          <w:szCs w:val="21"/>
        </w:rPr>
      </w:pPr>
      <w:r>
        <w:rPr>
          <w:rFonts w:ascii="宋体" w:hAnsi="宋体"/>
          <w:sz w:val="21"/>
          <w:szCs w:val="21"/>
        </w:rPr>
        <w:t>14.</w:t>
      </w:r>
      <w:r>
        <w:rPr>
          <w:rFonts w:hint="eastAsia" w:ascii="宋体" w:hAnsi="宋体"/>
          <w:sz w:val="21"/>
          <w:szCs w:val="21"/>
        </w:rPr>
        <w:t>2、工程竣工验收合格后，支付至合同金额的8</w:t>
      </w:r>
      <w:r>
        <w:rPr>
          <w:rFonts w:ascii="宋体" w:hAnsi="宋体"/>
          <w:sz w:val="21"/>
          <w:szCs w:val="21"/>
        </w:rPr>
        <w:t>0%,</w:t>
      </w:r>
      <w:r>
        <w:rPr>
          <w:rFonts w:hint="eastAsia" w:ascii="宋体" w:hAnsi="宋体"/>
          <w:sz w:val="21"/>
          <w:szCs w:val="21"/>
        </w:rPr>
        <w:t>工程项目造价以竣工结算审核结果为准，按合同金额的20%预留竣工结算审核准备金，待竣工结算审核完成，甲方聘请的第三方审计单位出具《工程结算审核定案表》后，支付至审定结算款的97%，剩余3%的</w:t>
      </w:r>
      <w:r>
        <w:rPr>
          <w:rFonts w:ascii="宋体" w:hAnsi="宋体"/>
          <w:sz w:val="21"/>
          <w:szCs w:val="21"/>
        </w:rPr>
        <w:t>质量保修金</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宋体" w:hAnsi="宋体"/>
          <w:sz w:val="21"/>
          <w:szCs w:val="21"/>
        </w:rPr>
      </w:pPr>
      <w:r>
        <w:rPr>
          <w:rFonts w:ascii="宋体" w:hAnsi="宋体"/>
          <w:sz w:val="21"/>
          <w:szCs w:val="21"/>
        </w:rPr>
        <w:t>14.</w:t>
      </w:r>
      <w:r>
        <w:rPr>
          <w:rFonts w:hint="eastAsia" w:ascii="宋体" w:hAnsi="宋体"/>
          <w:sz w:val="21"/>
          <w:szCs w:val="21"/>
        </w:rPr>
        <w:t>3、质保款拨付：</w:t>
      </w:r>
      <w:r>
        <w:rPr>
          <w:rFonts w:ascii="宋体" w:hAnsi="宋体"/>
          <w:sz w:val="21"/>
          <w:szCs w:val="21"/>
        </w:rPr>
        <w:t>质量保修金</w:t>
      </w:r>
      <w:r>
        <w:rPr>
          <w:rFonts w:hint="eastAsia" w:ascii="宋体" w:hAnsi="宋体"/>
          <w:sz w:val="21"/>
          <w:szCs w:val="21"/>
        </w:rPr>
        <w:t>在工程竣工验收合格满一年，无质量问题的，30日内付清。质量保修金不计利息。</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宋体" w:hAnsi="宋体"/>
          <w:sz w:val="21"/>
          <w:szCs w:val="21"/>
        </w:rPr>
      </w:pPr>
      <w:r>
        <w:rPr>
          <w:rFonts w:ascii="宋体" w:hAnsi="宋体"/>
          <w:sz w:val="21"/>
          <w:szCs w:val="21"/>
        </w:rPr>
        <w:t>14.</w:t>
      </w:r>
      <w:r>
        <w:rPr>
          <w:rFonts w:hint="eastAsia" w:ascii="宋体" w:hAnsi="宋体"/>
          <w:sz w:val="21"/>
          <w:szCs w:val="21"/>
        </w:rPr>
        <w:t>4、每次付款前乙方须向甲方提供增值税专用发票（税率</w:t>
      </w:r>
      <w:r>
        <w:rPr>
          <w:rFonts w:ascii="宋体" w:hAnsi="宋体"/>
          <w:sz w:val="21"/>
          <w:szCs w:val="21"/>
          <w:u w:val="single"/>
        </w:rPr>
        <w:t xml:space="preserve">  </w:t>
      </w:r>
      <w:r>
        <w:rPr>
          <w:rFonts w:hint="eastAsia" w:ascii="宋体" w:hAnsi="宋体"/>
          <w:sz w:val="21"/>
          <w:szCs w:val="21"/>
        </w:rPr>
        <w:t>%）及收据；支付审定结算款97%前，乙方需提供全额增值税专用发票；</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ascii="宋体" w:hAnsi="宋体"/>
          <w:sz w:val="21"/>
          <w:szCs w:val="21"/>
        </w:rPr>
      </w:pPr>
      <w:r>
        <w:rPr>
          <w:rFonts w:ascii="宋体" w:hAnsi="宋体"/>
          <w:sz w:val="21"/>
          <w:szCs w:val="21"/>
        </w:rPr>
        <w:t>14.</w:t>
      </w:r>
      <w:r>
        <w:rPr>
          <w:rFonts w:hint="eastAsia" w:ascii="宋体" w:hAnsi="宋体"/>
          <w:sz w:val="21"/>
          <w:szCs w:val="21"/>
        </w:rPr>
        <w:t>5、 乙方需在收到中标通知书后3个工作日内缴纳中标金额1</w:t>
      </w:r>
      <w:r>
        <w:rPr>
          <w:rFonts w:ascii="宋体" w:hAnsi="宋体"/>
          <w:sz w:val="21"/>
          <w:szCs w:val="21"/>
        </w:rPr>
        <w:t>0%的</w:t>
      </w:r>
      <w:r>
        <w:rPr>
          <w:rFonts w:hint="eastAsia" w:ascii="宋体" w:hAnsi="宋体"/>
          <w:sz w:val="21"/>
          <w:szCs w:val="21"/>
        </w:rPr>
        <w:t>合同履约保证金，待合同履行完毕后，未出现需扣款的事项将全额退回。（不含合同履约保证金所产生的利息）.</w:t>
      </w:r>
    </w:p>
    <w:p>
      <w:pPr>
        <w:spacing w:line="500" w:lineRule="exact"/>
        <w:rPr>
          <w:rFonts w:hint="eastAsia" w:ascii="宋体" w:hAnsi="宋体"/>
          <w:b/>
          <w:bCs/>
          <w:sz w:val="21"/>
          <w:szCs w:val="21"/>
        </w:rPr>
      </w:pPr>
      <w:r>
        <w:rPr>
          <w:rFonts w:ascii="宋体" w:hAnsi="宋体"/>
          <w:b/>
          <w:bCs/>
          <w:sz w:val="21"/>
          <w:szCs w:val="21"/>
        </w:rPr>
        <w:t xml:space="preserve">15. </w:t>
      </w:r>
      <w:r>
        <w:rPr>
          <w:rFonts w:hint="eastAsia" w:ascii="宋体" w:hAnsi="宋体"/>
          <w:b/>
          <w:bCs/>
          <w:sz w:val="21"/>
          <w:szCs w:val="21"/>
        </w:rPr>
        <w:t>违约责任</w:t>
      </w:r>
    </w:p>
    <w:p>
      <w:pPr>
        <w:spacing w:line="500" w:lineRule="exact"/>
        <w:rPr>
          <w:rFonts w:hint="eastAsia" w:ascii="宋体" w:hAnsi="宋体"/>
          <w:sz w:val="21"/>
          <w:szCs w:val="21"/>
        </w:rPr>
      </w:pPr>
      <w:r>
        <w:rPr>
          <w:rFonts w:ascii="宋体" w:hAnsi="宋体"/>
          <w:sz w:val="21"/>
          <w:szCs w:val="21"/>
        </w:rPr>
        <w:t>15.1</w:t>
      </w:r>
      <w:r>
        <w:rPr>
          <w:rFonts w:hint="eastAsia" w:ascii="宋体" w:hAnsi="宋体"/>
          <w:sz w:val="21"/>
          <w:szCs w:val="21"/>
        </w:rPr>
        <w:t>乙方应按合同规定的工期要求交付验收。</w:t>
      </w:r>
    </w:p>
    <w:p>
      <w:pPr>
        <w:spacing w:line="500" w:lineRule="exact"/>
        <w:rPr>
          <w:rFonts w:hint="eastAsia" w:ascii="宋体" w:hAnsi="宋体"/>
          <w:sz w:val="21"/>
          <w:szCs w:val="21"/>
        </w:rPr>
      </w:pPr>
      <w:r>
        <w:rPr>
          <w:rFonts w:ascii="宋体" w:hAnsi="宋体"/>
          <w:sz w:val="21"/>
          <w:szCs w:val="21"/>
        </w:rPr>
        <w:t>15.2</w:t>
      </w:r>
      <w:r>
        <w:rPr>
          <w:rFonts w:hint="eastAsia" w:ascii="宋体" w:hAnsi="宋体"/>
          <w:sz w:val="21"/>
          <w:szCs w:val="21"/>
        </w:rPr>
        <w:t>乙方应确保工程质量符合工程施工验收规范标准。工程质量不合格，应及时返工补修合格，并对由此给甲方造成的经济损失进行赔偿。</w:t>
      </w:r>
    </w:p>
    <w:p>
      <w:pPr>
        <w:spacing w:line="500" w:lineRule="exact"/>
        <w:rPr>
          <w:rFonts w:ascii="宋体" w:hAnsi="宋体"/>
          <w:sz w:val="21"/>
          <w:szCs w:val="21"/>
        </w:rPr>
      </w:pPr>
      <w:r>
        <w:rPr>
          <w:rFonts w:ascii="宋体" w:hAnsi="宋体"/>
          <w:sz w:val="21"/>
          <w:szCs w:val="21"/>
        </w:rPr>
        <w:t xml:space="preserve">15.3 </w:t>
      </w:r>
      <w:r>
        <w:rPr>
          <w:rFonts w:hint="eastAsia" w:ascii="宋体" w:hAnsi="宋体"/>
          <w:sz w:val="21"/>
          <w:szCs w:val="21"/>
        </w:rPr>
        <w:t>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pPr>
        <w:spacing w:line="500" w:lineRule="exact"/>
        <w:rPr>
          <w:rFonts w:hint="eastAsia" w:ascii="宋体" w:hAnsi="宋体"/>
          <w:sz w:val="21"/>
          <w:szCs w:val="21"/>
        </w:rPr>
      </w:pPr>
      <w:r>
        <w:rPr>
          <w:rFonts w:ascii="宋体" w:hAnsi="宋体"/>
          <w:sz w:val="21"/>
          <w:szCs w:val="21"/>
        </w:rPr>
        <w:t>15.4</w:t>
      </w:r>
      <w:r>
        <w:rPr>
          <w:rFonts w:hint="eastAsia" w:ascii="宋体" w:hAnsi="宋体"/>
          <w:sz w:val="21"/>
          <w:szCs w:val="21"/>
        </w:rPr>
        <w:t>甲乙双方必须严格执行本合同的各项条款与规定，如不执行或执行不力给工程造成损失的，应承担相应的技术或经济责任，按照给对方造成的经济损失足额赔偿。</w:t>
      </w:r>
    </w:p>
    <w:p>
      <w:pPr>
        <w:spacing w:line="500" w:lineRule="exact"/>
        <w:rPr>
          <w:rFonts w:hint="eastAsia" w:ascii="宋体" w:hAnsi="宋体"/>
          <w:b/>
          <w:bCs/>
          <w:sz w:val="21"/>
          <w:szCs w:val="21"/>
        </w:rPr>
      </w:pPr>
      <w:r>
        <w:rPr>
          <w:rFonts w:ascii="宋体" w:hAnsi="宋体"/>
          <w:b/>
          <w:bCs/>
          <w:sz w:val="21"/>
          <w:szCs w:val="21"/>
        </w:rPr>
        <w:t>16.</w:t>
      </w:r>
      <w:r>
        <w:rPr>
          <w:rFonts w:hint="eastAsia" w:ascii="宋体" w:hAnsi="宋体"/>
          <w:b/>
          <w:bCs/>
          <w:sz w:val="21"/>
          <w:szCs w:val="21"/>
        </w:rPr>
        <w:t>争议及其他条款</w:t>
      </w:r>
    </w:p>
    <w:p>
      <w:pPr>
        <w:spacing w:line="500" w:lineRule="exact"/>
        <w:rPr>
          <w:rFonts w:hint="eastAsia" w:ascii="宋体" w:hAnsi="宋体"/>
          <w:sz w:val="21"/>
          <w:szCs w:val="21"/>
        </w:rPr>
      </w:pPr>
      <w:r>
        <w:rPr>
          <w:rFonts w:ascii="宋体" w:hAnsi="宋体"/>
          <w:sz w:val="21"/>
          <w:szCs w:val="21"/>
        </w:rPr>
        <w:t>16.</w:t>
      </w:r>
      <w:r>
        <w:rPr>
          <w:rFonts w:hint="eastAsia" w:ascii="宋体" w:hAnsi="宋体"/>
          <w:sz w:val="21"/>
          <w:szCs w:val="21"/>
        </w:rPr>
        <w:t>1解决合同纠纷的方式：甲乙双方协商解决，如协商不成，应向甲方所在地法院提起诉讼，律师费等相关费用由违约方承担。</w:t>
      </w:r>
    </w:p>
    <w:p>
      <w:pPr>
        <w:spacing w:line="500" w:lineRule="exact"/>
        <w:rPr>
          <w:rFonts w:hint="eastAsia" w:ascii="宋体" w:hAnsi="宋体"/>
          <w:sz w:val="21"/>
          <w:szCs w:val="21"/>
        </w:rPr>
      </w:pPr>
      <w:r>
        <w:rPr>
          <w:rFonts w:ascii="宋体" w:hAnsi="宋体"/>
          <w:sz w:val="21"/>
          <w:szCs w:val="21"/>
        </w:rPr>
        <w:t>16.2</w:t>
      </w:r>
      <w:r>
        <w:rPr>
          <w:rFonts w:hint="eastAsia" w:ascii="宋体" w:hAnsi="宋体"/>
          <w:sz w:val="21"/>
          <w:szCs w:val="21"/>
        </w:rPr>
        <w:t>本合同执行期间，双方不得随意变更和解除合同，合同如有未尽事宜，由双方共同协商做出补充规定，补充规定与本合同具有同等法律效力。</w:t>
      </w:r>
    </w:p>
    <w:p>
      <w:pPr>
        <w:spacing w:line="500" w:lineRule="exact"/>
        <w:rPr>
          <w:rFonts w:hint="eastAsia" w:ascii="宋体" w:hAnsi="宋体"/>
          <w:sz w:val="21"/>
          <w:szCs w:val="21"/>
        </w:rPr>
      </w:pPr>
      <w:r>
        <w:rPr>
          <w:rFonts w:ascii="宋体" w:hAnsi="宋体"/>
          <w:sz w:val="21"/>
          <w:szCs w:val="21"/>
        </w:rPr>
        <w:t>16.3</w:t>
      </w:r>
      <w:r>
        <w:rPr>
          <w:rFonts w:hint="eastAsia" w:ascii="宋体" w:hAnsi="宋体"/>
          <w:sz w:val="21"/>
          <w:szCs w:val="21"/>
        </w:rPr>
        <w:t>未经甲方书面许可，乙方不得将本合同项下权利、义务转让给第三人。</w:t>
      </w:r>
    </w:p>
    <w:p>
      <w:pPr>
        <w:spacing w:line="500" w:lineRule="exact"/>
        <w:rPr>
          <w:rFonts w:hint="eastAsia" w:ascii="宋体" w:hAnsi="宋体"/>
          <w:b/>
          <w:bCs/>
          <w:sz w:val="21"/>
          <w:szCs w:val="21"/>
        </w:rPr>
      </w:pPr>
      <w:r>
        <w:rPr>
          <w:rFonts w:hint="eastAsia" w:ascii="宋体" w:hAnsi="宋体"/>
          <w:b/>
          <w:bCs/>
          <w:sz w:val="21"/>
          <w:szCs w:val="21"/>
        </w:rPr>
        <w:t>17</w:t>
      </w:r>
      <w:r>
        <w:rPr>
          <w:rFonts w:ascii="宋体" w:hAnsi="宋体"/>
          <w:b/>
          <w:bCs/>
          <w:sz w:val="21"/>
          <w:szCs w:val="21"/>
        </w:rPr>
        <w:t>.</w:t>
      </w:r>
      <w:r>
        <w:rPr>
          <w:rFonts w:hint="eastAsia" w:ascii="宋体" w:hAnsi="宋体"/>
          <w:b/>
          <w:bCs/>
          <w:sz w:val="21"/>
          <w:szCs w:val="21"/>
        </w:rPr>
        <w:t xml:space="preserve"> 合同生效与终止</w:t>
      </w:r>
    </w:p>
    <w:p>
      <w:pPr>
        <w:spacing w:line="500" w:lineRule="exact"/>
        <w:rPr>
          <w:rFonts w:hint="eastAsia" w:ascii="宋体" w:hAnsi="宋体"/>
          <w:sz w:val="21"/>
          <w:szCs w:val="21"/>
        </w:rPr>
      </w:pPr>
      <w:r>
        <w:rPr>
          <w:rFonts w:hint="eastAsia" w:ascii="宋体" w:hAnsi="宋体"/>
          <w:sz w:val="21"/>
          <w:szCs w:val="21"/>
        </w:rPr>
        <w:t>17</w:t>
      </w:r>
      <w:r>
        <w:rPr>
          <w:rFonts w:ascii="宋体" w:hAnsi="宋体"/>
          <w:sz w:val="21"/>
          <w:szCs w:val="21"/>
        </w:rPr>
        <w:t>.1</w:t>
      </w:r>
      <w:r>
        <w:rPr>
          <w:rFonts w:hint="eastAsia" w:ascii="宋体" w:hAnsi="宋体"/>
          <w:sz w:val="21"/>
          <w:szCs w:val="21"/>
        </w:rPr>
        <w:t>本合同自加盖双方公章或合同专用章之日起生效。合同签订日期以双方中最后一方加盖公章或合同专用章的日期为准。</w:t>
      </w:r>
    </w:p>
    <w:p>
      <w:pPr>
        <w:spacing w:line="500" w:lineRule="exact"/>
        <w:rPr>
          <w:rFonts w:hint="eastAsia" w:ascii="宋体" w:hAnsi="宋体"/>
          <w:sz w:val="21"/>
          <w:szCs w:val="21"/>
        </w:rPr>
      </w:pPr>
      <w:r>
        <w:rPr>
          <w:rFonts w:hint="eastAsia" w:ascii="宋体" w:hAnsi="宋体"/>
          <w:sz w:val="21"/>
          <w:szCs w:val="21"/>
          <w:lang w:val="en-US" w:eastAsia="zh-CN"/>
        </w:rPr>
        <w:t xml:space="preserve">17.2 </w:t>
      </w:r>
      <w:r>
        <w:rPr>
          <w:rFonts w:hint="eastAsia" w:ascii="宋体" w:hAnsi="宋体"/>
          <w:sz w:val="21"/>
          <w:szCs w:val="21"/>
        </w:rPr>
        <w:t>本合同共肆份，甲乙双方各执贰份。</w:t>
      </w:r>
    </w:p>
    <w:p>
      <w:pPr>
        <w:spacing w:line="500" w:lineRule="exact"/>
        <w:rPr>
          <w:rFonts w:ascii="宋体" w:hAnsi="宋体"/>
          <w:sz w:val="21"/>
          <w:szCs w:val="21"/>
        </w:rPr>
      </w:pPr>
      <w:r>
        <w:rPr>
          <w:rFonts w:ascii="宋体" w:hAnsi="宋体"/>
          <w:sz w:val="21"/>
          <w:szCs w:val="21"/>
        </w:rPr>
        <w:t>1</w:t>
      </w:r>
      <w:r>
        <w:rPr>
          <w:rFonts w:hint="eastAsia" w:ascii="宋体" w:hAnsi="宋体"/>
          <w:sz w:val="21"/>
          <w:szCs w:val="21"/>
        </w:rPr>
        <w:t>7</w:t>
      </w:r>
      <w:r>
        <w:rPr>
          <w:rFonts w:ascii="宋体" w:hAnsi="宋体"/>
          <w:sz w:val="21"/>
          <w:szCs w:val="21"/>
        </w:rPr>
        <w:t>.</w:t>
      </w:r>
      <w:r>
        <w:rPr>
          <w:rFonts w:hint="eastAsia" w:ascii="宋体" w:hAnsi="宋体"/>
          <w:sz w:val="21"/>
          <w:szCs w:val="21"/>
          <w:lang w:val="en-US" w:eastAsia="zh-CN"/>
        </w:rPr>
        <w:t>3</w:t>
      </w:r>
      <w:r>
        <w:rPr>
          <w:rFonts w:hint="eastAsia" w:ascii="宋体" w:hAnsi="宋体"/>
          <w:sz w:val="21"/>
          <w:szCs w:val="21"/>
        </w:rPr>
        <w:t>项目通过甲方验收达标合格，保修期满后失效。</w:t>
      </w:r>
    </w:p>
    <w:p>
      <w:pPr>
        <w:spacing w:line="500" w:lineRule="exact"/>
        <w:rPr>
          <w:rFonts w:ascii="宋体" w:hAnsi="宋体"/>
          <w:b/>
          <w:sz w:val="21"/>
          <w:szCs w:val="21"/>
        </w:rPr>
      </w:pPr>
      <w:r>
        <w:rPr>
          <w:rFonts w:hint="eastAsia" w:ascii="宋体" w:hAnsi="宋体"/>
          <w:b/>
          <w:sz w:val="21"/>
          <w:szCs w:val="21"/>
        </w:rPr>
        <w:t>1</w:t>
      </w:r>
      <w:r>
        <w:rPr>
          <w:rFonts w:ascii="宋体" w:hAnsi="宋体"/>
          <w:b/>
          <w:sz w:val="21"/>
          <w:szCs w:val="21"/>
        </w:rPr>
        <w:t>8.附件</w:t>
      </w:r>
    </w:p>
    <w:p>
      <w:pPr>
        <w:spacing w:line="500" w:lineRule="exact"/>
        <w:rPr>
          <w:rFonts w:hint="eastAsia" w:ascii="宋体" w:hAnsi="宋体"/>
          <w:sz w:val="21"/>
          <w:szCs w:val="21"/>
        </w:rPr>
      </w:pPr>
      <w:r>
        <w:rPr>
          <w:rFonts w:hint="eastAsia" w:ascii="宋体" w:hAnsi="宋体"/>
          <w:sz w:val="21"/>
          <w:szCs w:val="21"/>
        </w:rPr>
        <w:t>（此页无正文）</w:t>
      </w:r>
    </w:p>
    <w:p>
      <w:pPr>
        <w:spacing w:line="500" w:lineRule="exact"/>
        <w:jc w:val="center"/>
        <w:rPr>
          <w:rFonts w:ascii="宋体" w:hAnsi="宋体"/>
          <w:b/>
          <w:sz w:val="21"/>
          <w:szCs w:val="21"/>
        </w:rPr>
      </w:pPr>
      <w:r>
        <w:rPr>
          <w:rFonts w:hint="eastAsia" w:ascii="宋体" w:hAnsi="宋体"/>
          <w:b/>
          <w:sz w:val="21"/>
          <w:szCs w:val="21"/>
        </w:rPr>
        <w:t>签字页</w:t>
      </w:r>
    </w:p>
    <w:p>
      <w:pPr>
        <w:spacing w:line="500" w:lineRule="exact"/>
        <w:rPr>
          <w:rFonts w:ascii="宋体" w:hAnsi="宋体"/>
          <w:b/>
          <w:sz w:val="21"/>
          <w:szCs w:val="21"/>
          <w:u w:val="single"/>
        </w:rPr>
      </w:pPr>
      <w:r>
        <w:rPr>
          <w:rFonts w:hint="eastAsia" w:ascii="宋体" w:hAnsi="宋体"/>
          <w:b/>
          <w:sz w:val="21"/>
          <w:szCs w:val="21"/>
        </w:rPr>
        <w:t>甲方：</w:t>
      </w:r>
      <w:r>
        <w:rPr>
          <w:rFonts w:hint="eastAsia" w:ascii="宋体" w:hAnsi="宋体"/>
          <w:b/>
          <w:bCs/>
          <w:sz w:val="21"/>
          <w:szCs w:val="21"/>
          <w:u w:val="single"/>
        </w:rPr>
        <w:t>中粮(唐山)糖业有限公司</w:t>
      </w:r>
      <w:r>
        <w:rPr>
          <w:rFonts w:hint="eastAsia" w:ascii="宋体" w:hAnsi="宋体"/>
          <w:b/>
          <w:sz w:val="21"/>
          <w:szCs w:val="21"/>
          <w:u w:val="single"/>
        </w:rPr>
        <w:t xml:space="preserve"> </w:t>
      </w:r>
      <w:r>
        <w:rPr>
          <w:rFonts w:hint="eastAsia" w:ascii="宋体" w:hAnsi="宋体"/>
          <w:b/>
          <w:sz w:val="21"/>
          <w:szCs w:val="21"/>
        </w:rPr>
        <w:t xml:space="preserve">      乙方：</w:t>
      </w:r>
      <w:r>
        <w:rPr>
          <w:rFonts w:hint="eastAsia" w:ascii="宋体" w:hAnsi="宋体"/>
          <w:b/>
          <w:sz w:val="21"/>
          <w:szCs w:val="21"/>
          <w:u w:val="single"/>
        </w:rPr>
        <w:t xml:space="preserve">          </w:t>
      </w:r>
      <w:r>
        <w:rPr>
          <w:rFonts w:ascii="宋体" w:hAnsi="宋体"/>
          <w:b/>
          <w:sz w:val="21"/>
          <w:szCs w:val="21"/>
          <w:u w:val="single"/>
        </w:rPr>
        <w:t xml:space="preserve">            </w:t>
      </w:r>
      <w:r>
        <w:rPr>
          <w:rFonts w:hint="eastAsia" w:ascii="宋体" w:hAnsi="宋体"/>
          <w:b/>
          <w:sz w:val="21"/>
          <w:szCs w:val="21"/>
          <w:u w:val="single"/>
        </w:rPr>
        <w:t xml:space="preserve">    </w:t>
      </w:r>
    </w:p>
    <w:p>
      <w:pPr>
        <w:spacing w:line="500" w:lineRule="exact"/>
        <w:rPr>
          <w:rFonts w:ascii="宋体" w:hAnsi="宋体"/>
          <w:sz w:val="21"/>
          <w:szCs w:val="21"/>
        </w:rPr>
      </w:pPr>
      <w:r>
        <w:rPr>
          <w:rFonts w:hint="eastAsia" w:ascii="宋体" w:hAnsi="宋体"/>
          <w:sz w:val="21"/>
          <w:szCs w:val="21"/>
        </w:rPr>
        <w:t>（盖章）</w:t>
      </w:r>
      <w:r>
        <w:rPr>
          <w:rFonts w:ascii="宋体" w:hAnsi="宋体"/>
          <w:sz w:val="21"/>
          <w:szCs w:val="21"/>
        </w:rPr>
        <w:t xml:space="preserve">                              </w:t>
      </w:r>
      <w:r>
        <w:rPr>
          <w:rFonts w:hint="eastAsia" w:ascii="宋体" w:hAnsi="宋体"/>
          <w:sz w:val="21"/>
          <w:szCs w:val="21"/>
        </w:rPr>
        <w:t xml:space="preserve"> （盖章）</w:t>
      </w:r>
      <w:r>
        <w:rPr>
          <w:rFonts w:ascii="宋体" w:hAnsi="宋体"/>
          <w:sz w:val="21"/>
          <w:szCs w:val="21"/>
        </w:rPr>
        <w:t xml:space="preserve">              </w:t>
      </w:r>
    </w:p>
    <w:p>
      <w:pPr>
        <w:spacing w:line="500" w:lineRule="exact"/>
        <w:rPr>
          <w:rFonts w:ascii="宋体" w:hAnsi="宋体"/>
          <w:sz w:val="21"/>
          <w:szCs w:val="21"/>
        </w:rPr>
      </w:pPr>
      <w:r>
        <w:rPr>
          <w:rFonts w:hint="eastAsia" w:ascii="宋体" w:hAnsi="宋体"/>
          <w:sz w:val="21"/>
          <w:szCs w:val="21"/>
        </w:rPr>
        <w:t>法定代表人：                           法定代表人：</w:t>
      </w:r>
    </w:p>
    <w:p>
      <w:pPr>
        <w:spacing w:line="500" w:lineRule="exact"/>
        <w:rPr>
          <w:rFonts w:ascii="宋体" w:hAnsi="宋体"/>
          <w:sz w:val="21"/>
          <w:szCs w:val="21"/>
        </w:rPr>
      </w:pPr>
      <w:r>
        <w:rPr>
          <w:rFonts w:hint="eastAsia" w:ascii="宋体" w:hAnsi="宋体"/>
          <w:sz w:val="21"/>
          <w:szCs w:val="21"/>
        </w:rPr>
        <w:t>（签字）                               （签字）</w:t>
      </w:r>
    </w:p>
    <w:p>
      <w:pPr>
        <w:spacing w:line="500" w:lineRule="exact"/>
        <w:rPr>
          <w:rFonts w:ascii="宋体" w:hAnsi="宋体"/>
          <w:sz w:val="21"/>
          <w:szCs w:val="21"/>
        </w:rPr>
      </w:pPr>
      <w:r>
        <w:rPr>
          <w:rFonts w:hint="eastAsia" w:ascii="宋体" w:hAnsi="宋体"/>
          <w:sz w:val="21"/>
          <w:szCs w:val="21"/>
        </w:rPr>
        <w:t>授权委托人：                           授权委托人：</w:t>
      </w:r>
    </w:p>
    <w:p>
      <w:pPr>
        <w:spacing w:line="500" w:lineRule="exact"/>
        <w:rPr>
          <w:rFonts w:ascii="宋体" w:hAnsi="宋体"/>
          <w:sz w:val="21"/>
          <w:szCs w:val="21"/>
        </w:rPr>
      </w:pPr>
      <w:r>
        <w:rPr>
          <w:rFonts w:hint="eastAsia" w:ascii="宋体" w:hAnsi="宋体"/>
          <w:sz w:val="21"/>
          <w:szCs w:val="21"/>
        </w:rPr>
        <w:t>（签字）                               （签字）</w:t>
      </w:r>
    </w:p>
    <w:p>
      <w:pPr>
        <w:spacing w:line="500" w:lineRule="exact"/>
        <w:rPr>
          <w:rFonts w:ascii="宋体" w:hAnsi="宋体"/>
          <w:sz w:val="21"/>
          <w:szCs w:val="21"/>
        </w:rPr>
      </w:pPr>
      <w:r>
        <w:rPr>
          <w:rFonts w:hint="eastAsia" w:ascii="宋体" w:hAnsi="宋体"/>
          <w:sz w:val="21"/>
          <w:szCs w:val="21"/>
        </w:rPr>
        <w:t>电话：                                 电话：</w:t>
      </w:r>
      <w:r>
        <w:rPr>
          <w:rFonts w:ascii="宋体" w:hAnsi="宋体"/>
          <w:sz w:val="21"/>
          <w:szCs w:val="21"/>
        </w:rPr>
        <w:t xml:space="preserve">       </w:t>
      </w:r>
    </w:p>
    <w:p>
      <w:pPr>
        <w:spacing w:line="500" w:lineRule="exact"/>
        <w:rPr>
          <w:rFonts w:ascii="宋体" w:hAnsi="宋体"/>
          <w:sz w:val="21"/>
          <w:szCs w:val="21"/>
        </w:rPr>
      </w:pPr>
      <w:r>
        <w:rPr>
          <w:rFonts w:hint="eastAsia" w:ascii="宋体" w:hAnsi="宋体"/>
          <w:sz w:val="21"/>
          <w:szCs w:val="21"/>
        </w:rPr>
        <w:t xml:space="preserve">地址：河北省唐山市曹妃甸 </w:t>
      </w:r>
      <w:r>
        <w:rPr>
          <w:rFonts w:ascii="宋体" w:hAnsi="宋体"/>
          <w:sz w:val="21"/>
          <w:szCs w:val="21"/>
        </w:rPr>
        <w:t xml:space="preserve">              </w:t>
      </w:r>
      <w:r>
        <w:rPr>
          <w:rFonts w:hint="eastAsia" w:ascii="宋体" w:hAnsi="宋体"/>
          <w:sz w:val="21"/>
          <w:szCs w:val="21"/>
        </w:rPr>
        <w:t xml:space="preserve">地址： </w:t>
      </w:r>
    </w:p>
    <w:p>
      <w:pPr>
        <w:spacing w:line="500" w:lineRule="exact"/>
        <w:ind w:firstLine="630" w:firstLineChars="300"/>
        <w:rPr>
          <w:rFonts w:ascii="宋体" w:hAnsi="宋体"/>
          <w:sz w:val="21"/>
          <w:szCs w:val="21"/>
        </w:rPr>
      </w:pPr>
      <w:r>
        <w:rPr>
          <w:rFonts w:hint="eastAsia" w:ascii="宋体" w:hAnsi="宋体"/>
          <w:sz w:val="21"/>
          <w:szCs w:val="21"/>
        </w:rPr>
        <w:t xml:space="preserve">工业区二港池西岸 </w:t>
      </w:r>
      <w:r>
        <w:rPr>
          <w:rFonts w:ascii="宋体" w:hAnsi="宋体"/>
          <w:sz w:val="21"/>
          <w:szCs w:val="21"/>
        </w:rPr>
        <w:t xml:space="preserve">                      </w:t>
      </w:r>
      <w:r>
        <w:rPr>
          <w:rFonts w:hint="eastAsia" w:ascii="宋体" w:hAnsi="宋体"/>
          <w:sz w:val="21"/>
          <w:szCs w:val="21"/>
        </w:rPr>
        <w:t xml:space="preserve"> </w:t>
      </w:r>
    </w:p>
    <w:p>
      <w:pPr>
        <w:spacing w:line="500" w:lineRule="exact"/>
        <w:rPr>
          <w:rFonts w:ascii="宋体" w:hAnsi="宋体"/>
          <w:sz w:val="21"/>
          <w:szCs w:val="21"/>
        </w:rPr>
      </w:pPr>
      <w:r>
        <w:rPr>
          <w:rFonts w:hint="eastAsia" w:ascii="宋体" w:hAnsi="宋体"/>
          <w:sz w:val="21"/>
          <w:szCs w:val="21"/>
        </w:rPr>
        <w:t xml:space="preserve">开户银行：中国建设银行股份有限公司 </w:t>
      </w:r>
      <w:r>
        <w:rPr>
          <w:rFonts w:ascii="宋体" w:hAnsi="宋体"/>
          <w:sz w:val="21"/>
          <w:szCs w:val="21"/>
        </w:rPr>
        <w:t xml:space="preserve">    </w:t>
      </w:r>
      <w:r>
        <w:rPr>
          <w:rFonts w:hint="eastAsia" w:ascii="宋体" w:hAnsi="宋体"/>
          <w:sz w:val="21"/>
          <w:szCs w:val="21"/>
        </w:rPr>
        <w:t>开户银行：</w:t>
      </w:r>
      <w:r>
        <w:rPr>
          <w:rFonts w:ascii="宋体" w:hAnsi="宋体"/>
          <w:sz w:val="21"/>
          <w:szCs w:val="21"/>
        </w:rPr>
        <w:t xml:space="preserve"> </w:t>
      </w:r>
    </w:p>
    <w:p>
      <w:pPr>
        <w:spacing w:line="500" w:lineRule="exact"/>
        <w:ind w:firstLine="1050" w:firstLineChars="500"/>
        <w:rPr>
          <w:rFonts w:ascii="宋体" w:hAnsi="宋体"/>
          <w:sz w:val="21"/>
          <w:szCs w:val="21"/>
        </w:rPr>
      </w:pPr>
      <w:r>
        <w:rPr>
          <w:rFonts w:hint="eastAsia" w:ascii="宋体" w:hAnsi="宋体"/>
          <w:sz w:val="21"/>
          <w:szCs w:val="21"/>
        </w:rPr>
        <w:t>唐山曹妃甸自贸区支行</w:t>
      </w:r>
    </w:p>
    <w:p>
      <w:pPr>
        <w:spacing w:line="500" w:lineRule="exact"/>
        <w:rPr>
          <w:rFonts w:ascii="宋体" w:hAnsi="宋体"/>
          <w:sz w:val="21"/>
          <w:szCs w:val="21"/>
        </w:rPr>
      </w:pPr>
      <w:r>
        <w:rPr>
          <w:rFonts w:hint="eastAsia" w:ascii="宋体" w:hAnsi="宋体"/>
          <w:sz w:val="21"/>
          <w:szCs w:val="21"/>
        </w:rPr>
        <w:t xml:space="preserve">行号： </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行号：</w:t>
      </w:r>
      <w:r>
        <w:rPr>
          <w:rFonts w:ascii="宋体" w:hAnsi="宋体"/>
          <w:sz w:val="21"/>
          <w:szCs w:val="21"/>
        </w:rPr>
        <w:t xml:space="preserve"> </w:t>
      </w:r>
    </w:p>
    <w:p>
      <w:pPr>
        <w:spacing w:line="500" w:lineRule="exact"/>
        <w:rPr>
          <w:rFonts w:ascii="宋体" w:hAnsi="宋体"/>
          <w:sz w:val="21"/>
          <w:szCs w:val="21"/>
        </w:rPr>
      </w:pPr>
      <w:r>
        <w:rPr>
          <w:rFonts w:hint="eastAsia" w:ascii="宋体" w:hAnsi="宋体"/>
          <w:sz w:val="21"/>
          <w:szCs w:val="21"/>
        </w:rPr>
        <w:t>帐号：13001624101052503146             帐号：</w:t>
      </w:r>
    </w:p>
    <w:p>
      <w:pPr>
        <w:rPr>
          <w:rFonts w:ascii="宋体" w:hAnsi="宋体"/>
          <w:sz w:val="21"/>
          <w:szCs w:val="21"/>
        </w:rPr>
      </w:pPr>
    </w:p>
    <w:p>
      <w:pPr>
        <w:rPr>
          <w:rFonts w:ascii="宋体" w:hAnsi="宋体"/>
          <w:sz w:val="21"/>
          <w:szCs w:val="21"/>
        </w:rPr>
      </w:pPr>
      <w:r>
        <w:rPr>
          <w:rFonts w:hint="eastAsia" w:ascii="宋体" w:hAnsi="宋体"/>
          <w:sz w:val="21"/>
          <w:szCs w:val="21"/>
        </w:rPr>
        <w:t>税号：91130230585422515W</w:t>
      </w:r>
      <w:r>
        <w:rPr>
          <w:rFonts w:ascii="宋体" w:hAnsi="宋体"/>
          <w:sz w:val="21"/>
          <w:szCs w:val="21"/>
        </w:rPr>
        <w:t xml:space="preserve">               </w:t>
      </w:r>
      <w:r>
        <w:rPr>
          <w:rFonts w:hint="eastAsia" w:ascii="宋体" w:hAnsi="宋体"/>
          <w:sz w:val="21"/>
          <w:szCs w:val="21"/>
        </w:rPr>
        <w:t>税号：</w:t>
      </w:r>
    </w:p>
    <w:p>
      <w:pPr>
        <w:rPr>
          <w:rFonts w:ascii="宋体" w:hAnsi="宋体"/>
          <w:sz w:val="21"/>
          <w:szCs w:val="21"/>
        </w:rPr>
      </w:pPr>
    </w:p>
    <w:p>
      <w:pPr>
        <w:rPr>
          <w:rFonts w:hint="eastAsia" w:ascii="宋体" w:hAnsi="宋体"/>
          <w:sz w:val="21"/>
          <w:szCs w:val="21"/>
        </w:rPr>
      </w:pPr>
      <w:r>
        <w:rPr>
          <w:rFonts w:hint="eastAsia" w:ascii="宋体" w:hAnsi="宋体"/>
          <w:sz w:val="21"/>
          <w:szCs w:val="21"/>
        </w:rPr>
        <w:t>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日</w:t>
      </w:r>
    </w:p>
    <w:p>
      <w:pPr>
        <w:pStyle w:val="2"/>
        <w:spacing w:line="580" w:lineRule="exact"/>
        <w:jc w:val="both"/>
        <w:rPr>
          <w:rFonts w:hint="eastAsia" w:ascii="宋体" w:hAnsi="宋体" w:cs="宋体"/>
          <w:b w:val="0"/>
          <w:kern w:val="2"/>
          <w:sz w:val="21"/>
          <w:szCs w:val="21"/>
          <w:lang w:val="en-US" w:eastAsia="zh-CN"/>
        </w:rPr>
      </w:pPr>
    </w:p>
    <w:p>
      <w:pPr>
        <w:pStyle w:val="2"/>
        <w:spacing w:line="580" w:lineRule="exact"/>
        <w:jc w:val="both"/>
        <w:rPr>
          <w:rFonts w:hint="eastAsia" w:ascii="宋体" w:hAnsi="宋体" w:cs="宋体"/>
          <w:b w:val="0"/>
          <w:kern w:val="2"/>
          <w:sz w:val="21"/>
          <w:szCs w:val="21"/>
          <w:lang w:val="en-US" w:eastAsia="zh-CN"/>
        </w:rPr>
      </w:pPr>
    </w:p>
    <w:p>
      <w:pPr>
        <w:pStyle w:val="2"/>
        <w:spacing w:line="580" w:lineRule="exact"/>
        <w:jc w:val="both"/>
        <w:rPr>
          <w:rFonts w:hint="eastAsia" w:ascii="宋体" w:hAnsi="宋体" w:cs="宋体"/>
          <w:b w:val="0"/>
          <w:kern w:val="2"/>
          <w:sz w:val="21"/>
          <w:szCs w:val="21"/>
          <w:lang w:val="en-US" w:eastAsia="zh-CN"/>
        </w:rPr>
      </w:pPr>
    </w:p>
    <w:p>
      <w:pPr>
        <w:pStyle w:val="2"/>
        <w:spacing w:line="580" w:lineRule="exact"/>
        <w:jc w:val="both"/>
        <w:rPr>
          <w:rFonts w:hint="eastAsia" w:ascii="宋体" w:hAnsi="宋体" w:cs="宋体"/>
          <w:b w:val="0"/>
          <w:kern w:val="2"/>
          <w:sz w:val="21"/>
          <w:szCs w:val="21"/>
          <w:lang w:val="en-US" w:eastAsia="zh-CN"/>
        </w:rPr>
      </w:pPr>
    </w:p>
    <w:p>
      <w:pPr>
        <w:pStyle w:val="2"/>
        <w:spacing w:line="580" w:lineRule="exact"/>
        <w:jc w:val="both"/>
        <w:rPr>
          <w:rFonts w:hint="eastAsia" w:ascii="宋体" w:hAnsi="宋体" w:cs="宋体"/>
          <w:b w:val="0"/>
          <w:kern w:val="2"/>
          <w:sz w:val="21"/>
          <w:szCs w:val="21"/>
          <w:lang w:val="en-US" w:eastAsia="zh-CN"/>
        </w:rPr>
      </w:pPr>
    </w:p>
    <w:p>
      <w:pPr>
        <w:pStyle w:val="2"/>
        <w:spacing w:line="580" w:lineRule="exact"/>
        <w:jc w:val="both"/>
        <w:rPr>
          <w:rFonts w:hint="default" w:ascii="宋体" w:hAnsi="宋体" w:eastAsia="宋体" w:cs="宋体"/>
          <w:b w:val="0"/>
          <w:kern w:val="2"/>
          <w:sz w:val="21"/>
          <w:szCs w:val="21"/>
          <w:lang w:val="en-US" w:eastAsia="zh-CN"/>
        </w:rPr>
      </w:pPr>
      <w:r>
        <w:rPr>
          <w:rFonts w:hint="eastAsia" w:ascii="宋体" w:hAnsi="宋体" w:cs="宋体"/>
          <w:b w:val="0"/>
          <w:kern w:val="2"/>
          <w:sz w:val="21"/>
          <w:szCs w:val="21"/>
          <w:lang w:val="en-US" w:eastAsia="zh-CN"/>
        </w:rPr>
        <w:t xml:space="preserve">  </w:t>
      </w:r>
    </w:p>
    <w:p>
      <w:pPr>
        <w:pStyle w:val="2"/>
        <w:spacing w:line="580" w:lineRule="exact"/>
        <w:jc w:val="both"/>
        <w:rPr>
          <w:rFonts w:hint="eastAsia" w:ascii="宋体" w:hAnsi="宋体" w:eastAsia="宋体" w:cs="宋体"/>
          <w:b w:val="0"/>
          <w:kern w:val="2"/>
          <w:sz w:val="21"/>
          <w:szCs w:val="21"/>
          <w:lang w:val="en-US" w:eastAsia="zh-CN"/>
        </w:rPr>
      </w:pPr>
    </w:p>
    <w:p>
      <w:pPr>
        <w:pStyle w:val="2"/>
        <w:spacing w:line="580" w:lineRule="exact"/>
        <w:jc w:val="both"/>
        <w:rPr>
          <w:rFonts w:hint="eastAsia" w:ascii="宋体" w:hAnsi="宋体" w:eastAsia="宋体" w:cs="宋体"/>
          <w:b w:val="0"/>
          <w:kern w:val="2"/>
          <w:sz w:val="21"/>
          <w:szCs w:val="21"/>
          <w:lang w:val="en-US" w:eastAsia="zh-CN"/>
        </w:rPr>
      </w:pPr>
    </w:p>
    <w:p>
      <w:pPr>
        <w:pStyle w:val="2"/>
        <w:spacing w:line="580" w:lineRule="exact"/>
        <w:jc w:val="both"/>
        <w:rPr>
          <w:rFonts w:hint="eastAsia" w:ascii="宋体" w:hAnsi="宋体" w:eastAsia="宋体" w:cs="宋体"/>
          <w:b w:val="0"/>
          <w:kern w:val="2"/>
          <w:sz w:val="21"/>
          <w:szCs w:val="21"/>
          <w:lang w:val="en-US" w:eastAsia="zh-CN"/>
        </w:rPr>
      </w:pPr>
    </w:p>
    <w:p>
      <w:pPr>
        <w:pStyle w:val="2"/>
        <w:spacing w:line="580" w:lineRule="exact"/>
        <w:jc w:val="both"/>
        <w:rPr>
          <w:rFonts w:hint="eastAsia" w:ascii="宋体" w:hAnsi="宋体" w:eastAsia="宋体" w:cs="宋体"/>
          <w:b w:val="0"/>
          <w:kern w:val="2"/>
          <w:sz w:val="21"/>
          <w:szCs w:val="21"/>
          <w:lang w:val="en-US" w:eastAsia="zh-CN"/>
        </w:rPr>
      </w:pPr>
      <w:r>
        <w:rPr>
          <w:rFonts w:hint="eastAsia" w:ascii="宋体" w:hAnsi="宋体" w:eastAsia="宋体" w:cs="宋体"/>
          <w:b w:val="0"/>
          <w:kern w:val="2"/>
          <w:sz w:val="21"/>
          <w:szCs w:val="21"/>
          <w:lang w:val="en-US" w:eastAsia="zh-CN"/>
        </w:rPr>
        <w:t xml:space="preserve">附件1. </w:t>
      </w:r>
    </w:p>
    <w:p>
      <w:pPr>
        <w:snapToGrid w:val="0"/>
        <w:spacing w:line="575" w:lineRule="exact"/>
        <w:jc w:val="center"/>
        <w:rPr>
          <w:rFonts w:hint="eastAsia" w:ascii="黑体" w:hAnsi="黑体" w:eastAsia="黑体" w:cs="黑体"/>
          <w:b/>
          <w:bCs/>
          <w:sz w:val="28"/>
          <w:szCs w:val="28"/>
        </w:rPr>
      </w:pPr>
      <w:r>
        <w:rPr>
          <w:rFonts w:hint="eastAsia" w:ascii="黑体" w:hAnsi="黑体" w:eastAsia="黑体" w:cs="黑体"/>
          <w:b/>
          <w:bCs/>
          <w:sz w:val="28"/>
          <w:szCs w:val="28"/>
        </w:rPr>
        <w:t>(**项目)</w:t>
      </w:r>
    </w:p>
    <w:p>
      <w:pPr>
        <w:snapToGrid w:val="0"/>
        <w:spacing w:line="575" w:lineRule="exact"/>
        <w:jc w:val="center"/>
        <w:rPr>
          <w:rFonts w:hint="eastAsia" w:ascii="黑体" w:hAnsi="黑体" w:eastAsia="黑体" w:cs="黑体"/>
          <w:b/>
          <w:bCs/>
          <w:sz w:val="28"/>
          <w:szCs w:val="28"/>
        </w:rPr>
      </w:pPr>
      <w:r>
        <w:rPr>
          <w:rFonts w:hint="eastAsia" w:ascii="黑体" w:hAnsi="黑体" w:eastAsia="黑体" w:cs="黑体"/>
          <w:b/>
          <w:bCs/>
          <w:sz w:val="28"/>
          <w:szCs w:val="28"/>
        </w:rPr>
        <w:t>安全管理协议</w:t>
      </w:r>
    </w:p>
    <w:p>
      <w:pPr>
        <w:snapToGrid w:val="0"/>
        <w:spacing w:line="575" w:lineRule="exact"/>
        <w:rPr>
          <w:rFonts w:hint="eastAsia" w:ascii="宋体" w:hAnsi="宋体" w:eastAsia="宋体" w:cs="宋体"/>
          <w:sz w:val="21"/>
          <w:szCs w:val="21"/>
        </w:rPr>
      </w:pP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甲方（发包方）： </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乙方（承包方）： </w:t>
      </w:r>
    </w:p>
    <w:p>
      <w:pPr>
        <w:pStyle w:val="2"/>
        <w:shd w:val="clear" w:color="auto" w:fill="FFFFFF"/>
        <w:snapToGrid w:val="0"/>
        <w:spacing w:before="0" w:beforeAutospacing="0" w:after="0" w:afterAutospacing="0" w:line="575" w:lineRule="exact"/>
        <w:ind w:firstLine="420" w:firstLineChars="200"/>
        <w:jc w:val="both"/>
        <w:rPr>
          <w:rFonts w:hint="eastAsia" w:ascii="宋体" w:hAnsi="宋体" w:eastAsia="宋体" w:cs="宋体"/>
          <w:b w:val="0"/>
          <w:sz w:val="21"/>
          <w:szCs w:val="21"/>
        </w:rPr>
      </w:pPr>
      <w:r>
        <w:rPr>
          <w:rFonts w:hint="eastAsia" w:ascii="宋体" w:hAnsi="宋体" w:eastAsia="宋体" w:cs="宋体"/>
          <w:b w:val="0"/>
          <w:sz w:val="21"/>
          <w:szCs w:val="21"/>
        </w:rPr>
        <w:t>为了确保</w:t>
      </w:r>
      <w:r>
        <w:rPr>
          <w:rFonts w:hint="eastAsia" w:ascii="宋体" w:hAnsi="宋体" w:cs="宋体"/>
          <w:b w:val="0"/>
          <w:sz w:val="21"/>
          <w:szCs w:val="21"/>
          <w:u w:val="single"/>
          <w:lang w:val="en-US" w:eastAsia="zh-CN"/>
        </w:rPr>
        <w:t xml:space="preserve">  **   </w:t>
      </w:r>
      <w:r>
        <w:rPr>
          <w:rFonts w:hint="eastAsia" w:ascii="宋体" w:hAnsi="宋体" w:eastAsia="宋体" w:cs="宋体"/>
          <w:b w:val="0"/>
          <w:sz w:val="21"/>
          <w:szCs w:val="21"/>
        </w:rPr>
        <w:t>项目全过程的安</w:t>
      </w:r>
      <w:r>
        <w:rPr>
          <w:rFonts w:hint="eastAsia" w:ascii="宋体" w:hAnsi="宋体" w:cs="宋体"/>
          <w:b w:val="0"/>
          <w:sz w:val="21"/>
          <w:szCs w:val="21"/>
          <w:lang w:val="en-US" w:eastAsia="zh-CN"/>
        </w:rPr>
        <w:t xml:space="preserve"> </w:t>
      </w:r>
      <w:r>
        <w:rPr>
          <w:rFonts w:hint="eastAsia" w:ascii="宋体" w:hAnsi="宋体" w:eastAsia="宋体" w:cs="宋体"/>
          <w:b w:val="0"/>
          <w:sz w:val="21"/>
          <w:szCs w:val="21"/>
        </w:rPr>
        <w:t>全管理，杜绝发生安全生产事</w:t>
      </w:r>
      <w:r>
        <w:rPr>
          <w:rFonts w:hint="eastAsia" w:ascii="宋体" w:hAnsi="宋体" w:eastAsia="宋体" w:cs="宋体"/>
          <w:b w:val="0"/>
          <w:bCs w:val="0"/>
          <w:sz w:val="21"/>
          <w:szCs w:val="21"/>
        </w:rPr>
        <w:t>故，</w:t>
      </w:r>
      <w:r>
        <w:rPr>
          <w:rFonts w:hint="eastAsia" w:ascii="宋体" w:hAnsi="宋体" w:eastAsia="宋体" w:cs="宋体"/>
          <w:b w:val="0"/>
          <w:sz w:val="21"/>
          <w:szCs w:val="21"/>
        </w:rPr>
        <w:t>根据《安全生产法》、《民法典》、《建设工程安全生产管理条例》等法律法规和甲方承包商制度要求</w:t>
      </w:r>
      <w:r>
        <w:rPr>
          <w:rFonts w:hint="eastAsia" w:ascii="宋体" w:hAnsi="宋体" w:eastAsia="宋体" w:cs="宋体"/>
          <w:b w:val="0"/>
          <w:bCs w:val="0"/>
          <w:sz w:val="21"/>
          <w:szCs w:val="21"/>
        </w:rPr>
        <w:t>，经</w:t>
      </w:r>
      <w:r>
        <w:rPr>
          <w:rFonts w:hint="eastAsia" w:ascii="宋体" w:hAnsi="宋体" w:eastAsia="宋体" w:cs="宋体"/>
          <w:b w:val="0"/>
          <w:sz w:val="21"/>
          <w:szCs w:val="21"/>
        </w:rPr>
        <w:t>双方友好协商，对甲乙双方的安全生产责任、权利规定如下：</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1 甲方的职责、权利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 甲方职责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甲方有责任监督指导乙方按照甲方的信息化管理系统进行承包商全生命周期管理，确保乙方正确理解和应用该系统并遵循相关要求。</w:t>
      </w:r>
    </w:p>
    <w:p>
      <w:pPr>
        <w:numPr>
          <w:ilvl w:val="2"/>
          <w:numId w:val="3"/>
        </w:num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作业前管理要求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zh-CN" w:bidi="zh-CN"/>
        </w:rPr>
        <w:t>开展作业前准入资质核验，</w:t>
      </w:r>
      <w:r>
        <w:rPr>
          <w:rFonts w:hint="eastAsia" w:ascii="宋体" w:hAnsi="宋体" w:eastAsia="宋体" w:cs="宋体"/>
          <w:sz w:val="21"/>
          <w:szCs w:val="21"/>
        </w:rPr>
        <w:t>审查验证乙方作业安全条件，对乙方人员进行进场安全交底</w:t>
      </w:r>
      <w:r>
        <w:rPr>
          <w:rFonts w:hint="eastAsia" w:ascii="宋体" w:hAnsi="宋体" w:eastAsia="宋体" w:cs="宋体"/>
          <w:kern w:val="36"/>
          <w:sz w:val="21"/>
          <w:szCs w:val="21"/>
        </w:rPr>
        <w:t>。</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——负责</w:t>
      </w:r>
      <w:r>
        <w:rPr>
          <w:rFonts w:hint="eastAsia" w:ascii="宋体" w:hAnsi="宋体" w:eastAsia="宋体" w:cs="宋体"/>
          <w:kern w:val="36"/>
          <w:sz w:val="21"/>
          <w:szCs w:val="21"/>
        </w:rPr>
        <w:t>审核乙方承包资质证件及提供的各类无事故证明、保险、安全培训、作业方案、现场处置方案等文件资料</w:t>
      </w:r>
      <w:r>
        <w:rPr>
          <w:rFonts w:hint="eastAsia" w:ascii="宋体" w:hAnsi="宋体" w:eastAsia="宋体" w:cs="宋体"/>
          <w:sz w:val="21"/>
          <w:szCs w:val="21"/>
        </w:rPr>
        <w:t>。</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——核验乙方安全管理机构及人员配备情况及相应安全（特种作业）资格证书；</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——核验乙方作业设备设施、工具、物料、劳动保护用品等与乙方承包项目的匹配性以及安全性等；</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——提供必要的工作条件；</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1.1.2 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建立信息交流机制，对乙方提报的工作计划或作业任务进行确认，开展作业监督检查，监督办理危险作业等作业许可，指导协调应急处置。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——负责审查乙方提报的《每日作业计划》；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——监督检查乙方风险管控措施和危大工程的方案落实情况，并督促整改闭环。</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——负责指挥协调乙方现场安全生产事故应急救援工作，充分调动甲乙双方的应急资源。</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——对承包商危险作业实施许可管理；按照变更作业相关制度实施变更作业管理；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组织对乙方按照甲方考核评价相关制度进行考核评价，开展项目验收。</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1.2.1 有权否决乙方的分包方案。</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1.2.3 有权对乙方现场安全工作不称职的现场负责人、安全管理负责人和作业人员，提出约谈、警告、调离岗位、直至撤换等要求。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1.2.4 有权制止并纠正乙方作业现场的“三违”行为，遇到危及安全生产的紧急情况，有权下令停止作业。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1.2.5 乙方实施过程中违反国家有关法律法规的，甲方有权决定解除与乙方之间的合同及本协议。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1.2.6 有权要求乙方遵守并执行甲方制定或发布的全部的安全方面的管理制度和要求。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2 乙方的职责、权利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2.1 乙方责任 </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乙方按照甲方承包商管理制度及信息化管理系统要求，提供、上传相关资料文件，对资料的真实性、有效性、合法性负责。安全合规有序开展作业，确保项目满足质量及使用要求。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2.1.1作业前工作要求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提供企业相关信息，签订安全协议，接受安全条件审查，开展安全培训交底工作。</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——提交</w:t>
      </w:r>
      <w:r>
        <w:rPr>
          <w:rFonts w:hint="eastAsia" w:ascii="宋体" w:hAnsi="宋体" w:eastAsia="宋体" w:cs="宋体"/>
          <w:kern w:val="36"/>
          <w:sz w:val="21"/>
          <w:szCs w:val="21"/>
        </w:rPr>
        <w:t>资质证件、无事故证明、人员保险、人员资格证书、安全培训、作业方案、现场处置方案等文件资料</w:t>
      </w:r>
      <w:r>
        <w:rPr>
          <w:rFonts w:hint="eastAsia" w:ascii="宋体" w:hAnsi="宋体" w:eastAsia="宋体" w:cs="宋体"/>
          <w:sz w:val="21"/>
          <w:szCs w:val="21"/>
        </w:rPr>
        <w:t>，并对真实性、有效性和合法性负责。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——配备安全管理机构及人员；</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——配备作业设备设施、工具、物料、劳动保护用品等物品，并对符合性、安全性和完好性负责；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——负责对乙方作业人员进行安全风险交底；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——严禁违法分包和挂靠资质。如违反，则甲方有权决定解除与乙方之间的合同及本协议。</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2.1.2作业中管理要求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按照甲方要求参加值班例会或项目例会，按时提报的工作计划或作业任务，定期开展安全检查并整改关闭，按照规定办理危险作业等作业许可，开展安全事故应急处置。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禁止擅自改变每日作业活动的性质、范围和条件，禁止在作业任务规定时间之外开展作业，禁止在无人监管的情况下开展作业。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——按照施工方案落实风险管控措施；</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——负责指挥现场安全生产事故应急救援工作，并及时向甲方报告，并积极配合甲方的应急指挥、协调事故救援工作。</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——按照甲方制度要求，危险作业办理许可方可作业；按照甲方变更作业相关制度实施变更作业管理；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——特种作业人员须持有与作业相应的、合格的特种作业证，特种设备操作人员需持有效的特种设备操作员证；</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——现场存在交叉作业时，应服从甲方协调、指挥。</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——施工过程中，存在重大变更（方案、工具、人员等）或重大隐患、事故征兆以及事故的情况，应及时、如实报告甲方。</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——涉及危大工程的，根据《危险性较大的分部分项工程安全管理规定》及甲方相关制度标准，组织编制危大工程专项施工方案。</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——作业过程中违反国家有关法律法规造成损失的，承担相应责任，若因此给甲方造成损失或处罚的，承担经济损失。</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对甲方提供的技术资料保密，并提供真实有效的竣工验收资料。</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——对甲方提供的技术资料的保密性负责；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——对提交竣工验收相关资料的真实性负责。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2.2.1 有权拒绝甲方的违章指挥、强令冒险作业要求。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3 违约追偿</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4 协议有效期</w:t>
      </w:r>
    </w:p>
    <w:p>
      <w:pPr>
        <w:pStyle w:val="20"/>
        <w:snapToGrid w:val="0"/>
        <w:spacing w:after="0"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本协议有效期与合同一致，到期后双方尚有合同的权利义务未履行完毕的，协议有效期延续至合同履行完毕时止。</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5 协议效力</w:t>
      </w:r>
    </w:p>
    <w:p>
      <w:pPr>
        <w:snapToGrid w:val="0"/>
        <w:spacing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本协议与合同具有同等效力。本协议一式两份，甲、乙双方各持一份，双方盖章后生效，具有同等的法律效力。</w:t>
      </w:r>
    </w:p>
    <w:p>
      <w:pPr>
        <w:snapToGrid w:val="0"/>
        <w:spacing w:line="575" w:lineRule="exact"/>
        <w:rPr>
          <w:rFonts w:hint="eastAsia" w:ascii="宋体" w:hAnsi="宋体" w:eastAsia="宋体" w:cs="宋体"/>
          <w:sz w:val="21"/>
          <w:szCs w:val="21"/>
        </w:rPr>
      </w:pP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甲方（盖章）：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乙方（盖章）：</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      年   月   日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年   月   日</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br w:type="page"/>
      </w:r>
      <w:r>
        <w:rPr>
          <w:rFonts w:hint="eastAsia" w:ascii="宋体" w:hAnsi="宋体" w:eastAsia="宋体" w:cs="宋体"/>
          <w:sz w:val="21"/>
          <w:szCs w:val="21"/>
        </w:rPr>
        <w:t>附表：安全文明施工现场违约情形及违约金</w:t>
      </w:r>
    </w:p>
    <w:tbl>
      <w:tblPr>
        <w:tblStyle w:val="2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2"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567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违反文明安全施工行为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一、安全防护</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1、作业时未穿戴相应合规的防护用品</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2、脚手架拆装无防护措施；</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3、使用未检验合格的防护用品或防护用品失效；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4、临边洞口无防护措施；</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5、手持角磨机安全护罩缺失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6、机械运转部位防护缺失</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二、文明施工</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、在厂区内</w:t>
            </w:r>
            <w:r>
              <w:rPr>
                <w:rFonts w:hint="eastAsia" w:ascii="宋体" w:hAnsi="宋体" w:eastAsia="宋体" w:cs="宋体"/>
                <w:sz w:val="21"/>
                <w:szCs w:val="21"/>
                <w:lang w:val="en-US" w:eastAsia="zh-CN"/>
              </w:rPr>
              <w:t>非</w:t>
            </w:r>
            <w:r>
              <w:rPr>
                <w:rFonts w:hint="eastAsia" w:ascii="宋体" w:hAnsi="宋体" w:eastAsia="宋体" w:cs="宋体"/>
                <w:sz w:val="21"/>
                <w:szCs w:val="21"/>
              </w:rPr>
              <w:t>吸烟</w:t>
            </w:r>
            <w:r>
              <w:rPr>
                <w:rFonts w:hint="eastAsia" w:ascii="宋体" w:hAnsi="宋体" w:eastAsia="宋体" w:cs="宋体"/>
                <w:sz w:val="21"/>
                <w:szCs w:val="21"/>
                <w:lang w:val="en-US" w:eastAsia="zh-CN"/>
              </w:rPr>
              <w:t>区吸烟</w:t>
            </w:r>
            <w:r>
              <w:rPr>
                <w:rFonts w:hint="eastAsia" w:ascii="宋体" w:hAnsi="宋体" w:eastAsia="宋体" w:cs="宋体"/>
                <w:sz w:val="21"/>
                <w:szCs w:val="21"/>
              </w:rPr>
              <w:t>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、不文明作业（如：随地大小便、酒后上岗、吵骂打架、随意占用、堵塞道路、通道的）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color w:val="auto"/>
                <w:sz w:val="21"/>
                <w:szCs w:val="21"/>
              </w:rPr>
              <w:t>驾驶车辆超速的（机动车在无限速标志的厂内主干道行驶时，不得超过30km/h</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其他道路不得超过20km/h；道口、交叉口、装卸作业、人行稠密地段、没有警告标志处或转弯、调头时，货运汽车载运易燃易爆等危险货物时不得超过10km/h;结冰、积雪、积水的道路，恶劣天气能见度在30m以内时不得超过10km/h;进出厂房、仓库，车间大门、停车场、地磅、生产现场、倒车或拖带损坏车辆时不得超过5km/h）</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、施工现场杂乱(如：严重脏、乱、差、垃圾未及时清理的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、未经许可，随意进入生产区域的；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三、现场管理</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、现场安全隐患未定期整改的；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300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、现场作业未开具作业证就动工作业的（包含动火、吊装、高处、受限空间、临时用电等）；</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、特种作业人员及特殊工种人员未持证上岗的；</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15、现场应急物资未配备或实效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四、电气安全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 xml:space="preserve"> 临时用电未采用三级配电、三相五线制、二级漏电保护系统；                                       </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、未执行“一机、一闸、一漏”的规定；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分配电箱与开关箱距离大于30米，开关箱与用电设备距离大于3米；</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19、配电箱跨接线缺失，线路混乱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20、配电线路水中浸泡、拖地、挤压等隐患</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五、消防安全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、氧气瓶与乙炔气瓶距离小于5米，二者距火源小于10米</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22</w:t>
            </w:r>
            <w:r>
              <w:rPr>
                <w:rFonts w:hint="eastAsia" w:ascii="宋体" w:hAnsi="宋体" w:eastAsia="宋体" w:cs="宋体"/>
                <w:sz w:val="21"/>
                <w:szCs w:val="21"/>
              </w:rPr>
              <w:t>、动用明火未配置消防器材</w:t>
            </w:r>
            <w:r>
              <w:rPr>
                <w:rFonts w:hint="eastAsia" w:ascii="宋体" w:hAnsi="宋体" w:eastAsia="宋体" w:cs="宋体"/>
                <w:sz w:val="21"/>
                <w:szCs w:val="21"/>
                <w:lang w:eastAsia="zh-CN"/>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、氧气、乙炔瓶阳光下直晒；</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rPr>
              <w:t>、乙炔气瓶平放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无防止回火装置</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5</w:t>
            </w:r>
            <w:r>
              <w:rPr>
                <w:rFonts w:hint="eastAsia" w:ascii="宋体" w:hAnsi="宋体" w:eastAsia="宋体" w:cs="宋体"/>
                <w:sz w:val="21"/>
                <w:szCs w:val="21"/>
              </w:rPr>
              <w:t>、气瓶压力表损坏或失准；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26、气瓶无防震圈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27、气带老化，连接处未使用抱箍</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28、动火作业5米范围存在可燃物，未设置接火盆</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9</w:t>
            </w:r>
            <w:r>
              <w:rPr>
                <w:rFonts w:hint="eastAsia" w:ascii="宋体" w:hAnsi="宋体" w:eastAsia="宋体" w:cs="宋体"/>
                <w:sz w:val="21"/>
                <w:szCs w:val="21"/>
              </w:rPr>
              <w:t>、非紧急情况私自动用公司消防器材、消防水的；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、未按规定配置合规灭火器材的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六、其他</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、发生安全事故，未及时上报或隐瞒事故原因及责任人的；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、随意动用公司物品及标志牌造成损坏的；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、偷盗公司物品的每次给予相关单位违约追偿处理，严重者交公安机关处理；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、施工方案或安全措施方案未经批准擅自施工和操作；</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36</w:t>
            </w:r>
            <w:r>
              <w:rPr>
                <w:rFonts w:hint="eastAsia" w:ascii="宋体" w:hAnsi="宋体" w:eastAsia="宋体" w:cs="宋体"/>
                <w:sz w:val="21"/>
                <w:szCs w:val="21"/>
              </w:rPr>
              <w:t>、安排未经过培训教育、安全交底人员进入现场作业，随意更换未备案作业人员进厂作业；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37</w:t>
            </w:r>
            <w:r>
              <w:rPr>
                <w:rFonts w:hint="eastAsia" w:ascii="宋体" w:hAnsi="宋体" w:eastAsia="宋体" w:cs="宋体"/>
                <w:sz w:val="21"/>
                <w:szCs w:val="21"/>
              </w:rPr>
              <w:t>、危险作业监护人不在现场；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38</w:t>
            </w:r>
            <w:r>
              <w:rPr>
                <w:rFonts w:hint="eastAsia" w:ascii="宋体" w:hAnsi="宋体" w:eastAsia="宋体" w:cs="宋体"/>
                <w:sz w:val="21"/>
                <w:szCs w:val="21"/>
              </w:rPr>
              <w:t>、发生事故，</w:t>
            </w:r>
            <w:r>
              <w:rPr>
                <w:rFonts w:hint="eastAsia" w:ascii="宋体" w:hAnsi="宋体" w:eastAsia="宋体" w:cs="宋体"/>
                <w:sz w:val="21"/>
                <w:szCs w:val="21"/>
                <w:lang w:val="en-US" w:eastAsia="zh-CN"/>
              </w:rPr>
              <w:t>根据事故严重程度</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w:t>
            </w:r>
            <w:r>
              <w:rPr>
                <w:rFonts w:hint="eastAsia" w:ascii="宋体" w:hAnsi="宋体" w:eastAsia="宋体" w:cs="宋体"/>
                <w:sz w:val="21"/>
                <w:szCs w:val="21"/>
                <w:lang w:val="en-US" w:eastAsia="zh-CN"/>
              </w:rPr>
              <w:t>-10000元</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9</w:t>
            </w:r>
            <w:r>
              <w:rPr>
                <w:rFonts w:hint="eastAsia" w:ascii="宋体" w:hAnsi="宋体" w:eastAsia="宋体" w:cs="宋体"/>
                <w:sz w:val="21"/>
                <w:szCs w:val="21"/>
              </w:rPr>
              <w:t>、其他安全隐患或不文明作业现象、足以引发事故的。</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元∕次</w:t>
            </w:r>
          </w:p>
        </w:tc>
      </w:tr>
    </w:tbl>
    <w:p>
      <w:pPr>
        <w:widowControl/>
        <w:snapToGrid w:val="0"/>
        <w:spacing w:line="575" w:lineRule="exact"/>
        <w:jc w:val="left"/>
        <w:rPr>
          <w:rFonts w:ascii="仿宋" w:hAnsi="仿宋" w:eastAsia="仿宋" w:cs="仿宋"/>
          <w:kern w:val="0"/>
          <w:sz w:val="24"/>
          <w:szCs w:val="24"/>
        </w:rPr>
      </w:pPr>
    </w:p>
    <w:p>
      <w:pPr>
        <w:rPr>
          <w:rFonts w:hint="eastAsia"/>
          <w:lang w:val="en-US" w:eastAsia="zh-CN"/>
        </w:rPr>
      </w:pPr>
    </w:p>
    <w:p>
      <w:pPr>
        <w:widowControl/>
        <w:jc w:val="left"/>
        <w:rPr>
          <w:rFonts w:ascii="黑体" w:eastAsia="黑体"/>
          <w:b/>
          <w:sz w:val="36"/>
          <w:szCs w:val="36"/>
        </w:rPr>
      </w:pPr>
      <w:r>
        <w:rPr>
          <w:rFonts w:ascii="黑体" w:eastAsia="黑体"/>
          <w:b/>
          <w:sz w:val="36"/>
          <w:szCs w:val="36"/>
        </w:rPr>
        <w:br w:type="page"/>
      </w:r>
    </w:p>
    <w:p>
      <w:pPr>
        <w:bidi w:val="0"/>
        <w:jc w:val="left"/>
        <w:rPr>
          <w:rFonts w:asciiTheme="minorHAnsi" w:hAnsiTheme="minorHAnsi" w:eastAsiaTheme="minorEastAsia" w:cstheme="minorBidi"/>
          <w:kern w:val="2"/>
          <w:sz w:val="21"/>
          <w:szCs w:val="22"/>
          <w:lang w:val="en-US" w:eastAsia="zh-CN" w:bidi="ar-SA"/>
        </w:rPr>
      </w:pPr>
    </w:p>
    <w:p>
      <w:pPr>
        <w:bidi w:val="0"/>
        <w:jc w:val="left"/>
        <w:rPr>
          <w:rFonts w:hint="eastAsia" w:cstheme="minorBidi"/>
          <w:kern w:val="2"/>
          <w:sz w:val="21"/>
          <w:szCs w:val="22"/>
          <w:lang w:val="en-US" w:eastAsia="zh-CN" w:bidi="ar-SA"/>
        </w:rPr>
      </w:pPr>
      <w:r>
        <w:rPr>
          <w:rFonts w:hint="eastAsia" w:cstheme="minorBidi"/>
          <w:kern w:val="2"/>
          <w:sz w:val="21"/>
          <w:szCs w:val="22"/>
          <w:lang w:val="en-US" w:eastAsia="zh-CN" w:bidi="ar-SA"/>
        </w:rPr>
        <w:t xml:space="preserve">附件2.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中粮（唐山）糖业有限公司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环境保护协议书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甲方（项目单位）：  中粮（唐山）糖业有限公司</w:t>
      </w:r>
      <w:r>
        <w:rPr>
          <w:rFonts w:hint="eastAsia" w:cstheme="minorBidi"/>
          <w:kern w:val="2"/>
          <w:sz w:val="21"/>
          <w:szCs w:val="22"/>
          <w:lang w:val="en-US" w:eastAsia="zh-CN" w:bidi="ar-SA"/>
        </w:rPr>
        <w:tab/>
      </w:r>
      <w:r>
        <w:rPr>
          <w:rFonts w:hint="eastAsia" w:cstheme="minorBidi"/>
          <w:kern w:val="2"/>
          <w:sz w:val="21"/>
          <w:szCs w:val="2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 xml:space="preserve">乙方（相关方单位）：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 xml:space="preserve"> 合同编号：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为加强唐山糖业外协服务单位环保管理，杜绝和减少外协服务活动中各类环境污染的发生。依据国家和河北省生态环保法律、法规以及有关环保管理要求，遵循自愿平等原则，甲乙双方就本项目（服务活动）的环境保护管理协商一致，订立本协议。本协议为主体合同的补充附件，并具有同等法律效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一、甲方的责任与权利</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1.按照国家、地方有关法律法规及公司环境保护要求，向外协单位告知工作要求和相关目标指标。</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2.唐山糖业安全环保部为本协议甲方环境管理的职能管理部门，负责对乙方施工或作业过程中行为的环保符合性进行监督检查。 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3.检查《环境保护协议书》签订情况，检查检修、施工或其他工作开工前及服务活动中制定与实施防污染措施等环境保护管理情况。</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4.针对检查中发现的环保问题，对责任单位提出整改要求，必要时责令其停工整顿，并给予经济处罚。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5.组织召开环保例会。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6.甲方对乙方工作中的环保事故隐患，有权责令乙方立即整改、排除，乙方拒不配合执行，甲方有权单方终止相关经济业务合同的履行。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二、乙方的责任与权利</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1.认真贯彻执行政府部门环境保护管理法律、法规及甲方公司安全环保管理制度，落实唐山糖业在项目谈判中提出的环境保护管理的有关要求。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2.明确建设检修、施工或其他作业项目环境保护责任人，设置专兼职环保人员，负责检修、施工或其他作业现场的环保管理。在签订环保协议时设置环保人员须报送甲方审查备案，双方建立日常联系沟通渠道。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3.在检修、施工或其他作业前对参加检修、施工的人员进行环保教育，提高检修、施工人员环保意识。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4.开工前应根据不同阶段、任务、作业条件等因素制定切实可行的现场防污染措施，并做好日常期间相应措施的落实。</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5.由乙方原因造成环境污染、发生环保事件时，立即采取有效措施控制污染，防止污染扩大，消除影响，及时向公司环保主管部门及项目责任单位上报，并做好污染调查的配合与处置工作，处罚与责任由乙方承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6.甲方日常的监督检查，乙方应予以配合支持，积极落实甲方提出的整改措施。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 xml:space="preserve">7.配合甲方做好政府部门环保检查等工作。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 xml:space="preserve"> 三、环境保护基本要求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1.严禁在检修、施工或其他作业现场焚烧油毡、橡胶、塑料、皮革、树叶、杂草以及露天刷漆、焊接时未使用烟气捕集装置等一切污染大气环境的物质。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2.建设工程施工现场主要道路须进行硬化处理，土方作业等易扬尘施工区域周边要设置围挡，围挡高度一般路段周边不低于1.8m,主干道周边不低于2.5m,围挡必须沿工地四周连续设置，不得有缺口；车辆进出施工现场必须保持车身清洁，不能有明显扬尘，同时应当有专人负责环保工作，施工现场应及时采取洒水作业及清扫等措施，减少扬尘污染。</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3.易产生飞扬的细颗粒散状物料要堆放在库内，露天存放渣土等物料必须严密苫盖，渣土运输车辆要做好苫盖，并采取有效防风加固措施，防尘网密度应当符合要求，遮盖块状物料的防尘网，网目密度不少于800目/100平方厘米；遮盖粒装、粉状物料，网目密度不少于2000目/100平方厘米；装卸、倒运时采取有效抑尘措施，不得造成扬尘污染及轮胎痕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4.施工现场使用的燃煤茶炉、大灶、取暖炉等禁止使用原煤、重油以及其它高污染燃料,禁止擅自建设烟囱或出现冒黑烟现象，其它可能造成大气、水体、土壤污染的检修、施工或其他作业，必须采取有效防治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 xml:space="preserve">5.检修、施工或其他作业过程中不得随意向雨排系统排水，因检修、施工原因确需排水的，必须提前24小时向甲方安全环保部提出申请，由安全环保部办理临时排水审批。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6.检修、施工或其他作业中产生的废油、废液、含油垃圾、废油漆桶等危险废物必须及时收集并分类存放至合规存放点，做好记录并负责做到合规处置，也可以委托甲方帮助寻找处置渠道，处置费用自行承担，不得随意存放、丢弃，严禁露天堆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7.检修、施工或其他作业中使用的油料、易燃、易爆、有毒、有害物品必须设专人、专用容器保管、贮存，防止发生跑冒滴漏现象；对易燃、易爆或有毒有害危险品，应采取防范措施及应急处置预案，配备应急物资，防止在储运过程中发生燃爆、泄露等事故，造成环境污染，后果自行承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8.检修、施工或其他作业中，使用放射性同位素进行探伤等作业的，必须提前向安全环保部提出申请，由安全环保部审批。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9.检修、施工或其他作业中要随时清理各类残土、弃料，做到活完地净，严禁高空抛撒。工业垃圾和检修、施工土方、杂物必须采取严密苫盖、密闭清运措施，送到指定消纳场地进行处理，也可以委托甲方帮助寻找处置渠道，处置费用自行承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10.检修、施工或其他作业过程中严禁露天喷（刷）漆作业，焊接作业要配备烟气捕集装置，可有效净化焊接作业产生的烟雾粉尘。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11.检修、施工或其他作业过程中产生的噪音，应采取降噪或隔音措施，使用机械设备以及管网吹扫等，可能对周边环境产生严重噪声污染的（大于90分贝），检修、施工单位须提前报请安全环保部批准，采取防治噪声污染的有效措施后方可实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12.不得损坏环境在线监控设施及除尘、脱硫脱硝等环保设施，不得因施工、检修或其他等原因导致环保设施不能正常运行；项目检修、施工或其他作业需要停运或拆除原有环保设施时，必须提前报备且制定出相应的环保措施，经批准后方可实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13.凡进行防水、防腐作业等可能对周围环境产生异味污染的，必须制定污染控制措施，并提前一天向甲方提出申请，批准后方可进行作业；作业过程中严格执行。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14.所有进出厂及厂内作业车辆必须满足国五及以上排放标准或使用新能源车辆；非道路移动车辆及特种作业车辆必须满足国三及以上排放标准，国三、国四非道路移动机械要取得环保部门环保码。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15.运输车辆进出检修、施工或其他作业现场必须保持车身清洁，车轮不带泥，严禁运输遗撒，若有遗撒，自行处理；运输车辆运输粉料作业时必须采取苫盖等抑制扬尘措施，严禁运输遗撒及二次扬尘。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16.加强对施工机械、机动车辆的维修、保养，确保尾气达标排放。严禁冒蓝、黑烟行驶。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17.严格执行唐山地区重污染天气应急响应措施。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四、违约责任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乙方违反环境保护基本要求1-4条内容规定，视情节轻重，每次扣200-500元；违反5-8条内容规定的，每次扣300-800元；违反9-14条内容规定的，每次扣500-800元；违反15-16条内容规定的，每次扣200-500元；造成影响的，加倍扣款并承担相应责任。违反17条内容规定的，每次扣800-1000元；造成影响的，加倍扣款并承担相应责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五、附　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1.甲方应责成乙方对存在的污染隐患、环保措施不落实等进行限期整改，必要时停工整顿，直至终止合同。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2.由于乙方自身管理失误、发生污染事故，乙方承担全部责任及损失。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3.检修、施工或其他作业过程中出现的环保扰民纠纷由甲方负责调解处理，检修、施工或其他作业过程中造成的环保罚赔款由乙方承担。</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4.其它未尽事宜由甲乙双方协商解决。</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5.本协议如有与国家法律、法规相抵触之处，执行国家法律和法规的相关规定。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6.本协议一式四份，安全环保部、外协单位各执两份。</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7.本协议与主体合同同步生效执行。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甲方单位（盖章）：              乙方单位（盖章）：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甲方负责人签字：                乙方负责人签字：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联系电话：                      联系电话：</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年  月  日                      年  月  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r>
        <w:rPr>
          <w:rFonts w:hint="eastAsia" w:cstheme="minorBidi"/>
          <w:kern w:val="2"/>
          <w:sz w:val="21"/>
          <w:szCs w:val="22"/>
          <w:lang w:val="en-US" w:eastAsia="zh-CN" w:bidi="ar-SA"/>
        </w:rPr>
        <w:t>备注：本协议为指导文本，各部门在与检修、施工或其他作业单位签订具体项目的环境保护协议时，应参照本协议指导文本，并依据该项目的实际情况，双方协商确定环境保护协议的具体内容。</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stheme="minorBidi"/>
          <w:kern w:val="2"/>
          <w:sz w:val="21"/>
          <w:szCs w:val="22"/>
          <w:lang w:val="en-US" w:eastAsia="zh-CN" w:bidi="ar-SA"/>
        </w:rPr>
      </w:pPr>
    </w:p>
    <w:p>
      <w:pPr>
        <w:bidi w:val="0"/>
        <w:jc w:val="left"/>
        <w:rPr>
          <w:rFonts w:hint="default"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bidi w:val="0"/>
        <w:jc w:val="left"/>
        <w:rPr>
          <w:rFonts w:asciiTheme="minorHAnsi" w:hAnsiTheme="minorHAnsi" w:eastAsiaTheme="minorEastAsia" w:cstheme="minorBidi"/>
          <w:kern w:val="2"/>
          <w:sz w:val="21"/>
          <w:szCs w:val="22"/>
          <w:lang w:val="en-US" w:eastAsia="zh-CN" w:bidi="ar-SA"/>
        </w:rPr>
      </w:pP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五</w:t>
      </w:r>
      <w:r>
        <w:rPr>
          <w:rFonts w:hint="eastAsia" w:ascii="黑体" w:eastAsia="黑体"/>
          <w:b/>
          <w:sz w:val="36"/>
          <w:szCs w:val="36"/>
        </w:rPr>
        <w:t xml:space="preserve">章 </w:t>
      </w:r>
      <w:r>
        <w:rPr>
          <w:rFonts w:hint="eastAsia" w:ascii="黑体" w:eastAsia="黑体"/>
          <w:b/>
          <w:sz w:val="36"/>
          <w:szCs w:val="36"/>
          <w:lang w:val="en-US" w:eastAsia="zh-CN"/>
        </w:rPr>
        <w:t>评审方法</w:t>
      </w:r>
    </w:p>
    <w:p>
      <w:pPr>
        <w:pStyle w:val="2"/>
        <w:spacing w:line="580" w:lineRule="exact"/>
        <w:jc w:val="both"/>
        <w:rPr>
          <w:rFonts w:ascii="黑体" w:eastAsia="黑体" w:hAnsiTheme="minorHAnsi" w:cstheme="minorBidi"/>
          <w:b w:val="0"/>
          <w:kern w:val="2"/>
          <w:sz w:val="36"/>
          <w:szCs w:val="36"/>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pStyle w:val="2"/>
        <w:numPr>
          <w:ilvl w:val="0"/>
          <w:numId w:val="4"/>
        </w:numPr>
        <w:spacing w:line="580" w:lineRule="exact"/>
        <w:rPr>
          <w:rFonts w:hint="eastAsia" w:ascii="宋体" w:hAnsi="宋体" w:eastAsia="宋体" w:cs="宋体"/>
          <w:bCs w:val="0"/>
          <w:sz w:val="21"/>
          <w:szCs w:val="21"/>
        </w:rPr>
      </w:pPr>
      <w:r>
        <w:rPr>
          <w:rFonts w:hint="eastAsia" w:ascii="宋体" w:hAnsi="宋体" w:eastAsia="宋体" w:cs="宋体"/>
          <w:bCs w:val="0"/>
          <w:sz w:val="21"/>
          <w:szCs w:val="21"/>
        </w:rPr>
        <w:t>总则：</w:t>
      </w:r>
    </w:p>
    <w:p>
      <w:pPr>
        <w:pStyle w:val="2"/>
        <w:numPr>
          <w:ilvl w:val="0"/>
          <w:numId w:val="0"/>
        </w:numPr>
        <w:spacing w:line="580" w:lineRule="exact"/>
        <w:ind w:firstLine="420" w:firstLineChars="200"/>
        <w:rPr>
          <w:rFonts w:hint="eastAsia"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 xml:space="preserve">评审采用“综合评标法”。评审小组依据采购文件中的标准、办法对投标人的响应文件进行评审。 </w:t>
      </w:r>
    </w:p>
    <w:p>
      <w:pPr>
        <w:pStyle w:val="2"/>
        <w:numPr>
          <w:ilvl w:val="0"/>
          <w:numId w:val="0"/>
        </w:numPr>
        <w:spacing w:line="580" w:lineRule="exact"/>
        <w:rPr>
          <w:rFonts w:hint="eastAsia" w:ascii="宋体" w:hAnsi="宋体" w:eastAsia="宋体" w:cs="宋体"/>
          <w:bCs/>
          <w:sz w:val="21"/>
          <w:szCs w:val="21"/>
        </w:rPr>
      </w:pPr>
      <w:r>
        <w:rPr>
          <w:rFonts w:hint="eastAsia" w:ascii="宋体" w:hAnsi="宋体" w:eastAsia="宋体" w:cs="宋体"/>
          <w:bCs/>
          <w:sz w:val="21"/>
          <w:szCs w:val="21"/>
        </w:rPr>
        <w:t>二、评审方式：</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评委构成：由采购人依法组建的谈判小组负责。谈判小组人数为3人以上单数（包含3人）</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评审小组对商务部分和技术部分进行综合评审，评审小组将采用百分制打分的方式，按得分排名；</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评审小组成员打分的分值应在规定范围内，高于或低于该范围为无效打分。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评审依据：评委将以响应文件为评审依据，对供应商的响应报价、商务、技术等方面内容进行综合评审。</w:t>
      </w:r>
    </w:p>
    <w:p>
      <w:pPr>
        <w:spacing w:line="360" w:lineRule="auto"/>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bCs/>
          <w:sz w:val="21"/>
          <w:szCs w:val="21"/>
        </w:rPr>
        <w:t>供应商出现下列情形之一的，其响应将作为否决响应处理</w:t>
      </w:r>
      <w:r>
        <w:rPr>
          <w:rFonts w:hint="eastAsia" w:ascii="宋体" w:hAnsi="宋体" w:eastAsia="宋体" w:cs="宋体"/>
          <w:sz w:val="21"/>
          <w:szCs w:val="21"/>
        </w:rPr>
        <w:t>：</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rPr>
        <w:tab/>
      </w:r>
      <w:r>
        <w:rPr>
          <w:rFonts w:hint="eastAsia" w:ascii="宋体" w:hAnsi="宋体" w:eastAsia="宋体" w:cs="宋体"/>
          <w:bCs/>
          <w:sz w:val="21"/>
          <w:szCs w:val="21"/>
        </w:rPr>
        <w:t>单位负责人为同一人或者存在控股、管理关系的不同单位，参加同一标段（包件）或者未划分标段（包件）的同一采购项目响应；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rPr>
        <w:tab/>
      </w:r>
      <w:r>
        <w:rPr>
          <w:rFonts w:hint="eastAsia" w:ascii="宋体" w:hAnsi="宋体" w:eastAsia="宋体" w:cs="宋体"/>
          <w:bCs/>
          <w:sz w:val="21"/>
          <w:szCs w:val="21"/>
        </w:rPr>
        <w:t>供应商未提交投标保证金或投标保证金金额不足、投标保证金的形式、投标保证金的有效期不符合文件要求；</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rPr>
        <w:tab/>
      </w:r>
      <w:r>
        <w:rPr>
          <w:rFonts w:hint="eastAsia" w:ascii="宋体" w:hAnsi="宋体" w:eastAsia="宋体" w:cs="宋体"/>
          <w:bCs/>
          <w:sz w:val="21"/>
          <w:szCs w:val="21"/>
        </w:rPr>
        <w:t>响应文件中未按谈判文件要求加盖单位公章或法定代表人或法定代表人授权人签字或盖章的（谈判文件规定的签字或盖章之处）；或签字人无法定代表人有效授权书；</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w:t>
      </w:r>
      <w:r>
        <w:rPr>
          <w:rFonts w:hint="eastAsia" w:ascii="宋体" w:hAnsi="宋体" w:eastAsia="宋体" w:cs="宋体"/>
          <w:bCs/>
          <w:sz w:val="21"/>
          <w:szCs w:val="21"/>
        </w:rPr>
        <w:tab/>
      </w:r>
      <w:r>
        <w:rPr>
          <w:rFonts w:hint="eastAsia" w:ascii="宋体" w:hAnsi="宋体" w:eastAsia="宋体" w:cs="宋体"/>
          <w:bCs/>
          <w:sz w:val="21"/>
          <w:szCs w:val="21"/>
        </w:rPr>
        <w:t>未提供资格证明文件、资格证明文件不全、提供虚假材料或不符合国家或者谈判文件规定的资格条件；</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rPr>
        <w:tab/>
      </w:r>
      <w:r>
        <w:rPr>
          <w:rFonts w:hint="eastAsia" w:ascii="宋体" w:hAnsi="宋体" w:eastAsia="宋体" w:cs="宋体"/>
          <w:bCs/>
          <w:sz w:val="21"/>
          <w:szCs w:val="21"/>
        </w:rPr>
        <w:t>同一供应商递交两份或多份内容不同的响应文件，或在一份响应文件中对同一采购项目报有两个或多个报价，且未声明哪一个有效；</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rPr>
        <w:tab/>
      </w:r>
      <w:r>
        <w:rPr>
          <w:rFonts w:hint="eastAsia" w:ascii="宋体" w:hAnsi="宋体" w:eastAsia="宋体" w:cs="宋体"/>
          <w:bCs/>
          <w:sz w:val="21"/>
          <w:szCs w:val="21"/>
        </w:rPr>
        <w:t>响应报价高于谈判文件设定的最高响应限价（单价和总价均不允许超过）；</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bCs/>
          <w:sz w:val="21"/>
          <w:szCs w:val="21"/>
        </w:rPr>
        <w:tab/>
      </w:r>
      <w:r>
        <w:rPr>
          <w:rFonts w:hint="eastAsia" w:ascii="宋体" w:hAnsi="宋体" w:eastAsia="宋体" w:cs="宋体"/>
          <w:bCs/>
          <w:sz w:val="21"/>
          <w:szCs w:val="21"/>
        </w:rPr>
        <w:t>响应文件没有对谈判文件的实质性要求和条件作出响应；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(8)</w:t>
      </w:r>
      <w:r>
        <w:rPr>
          <w:rFonts w:hint="eastAsia" w:ascii="宋体" w:hAnsi="宋体" w:eastAsia="宋体" w:cs="宋体"/>
          <w:bCs/>
          <w:sz w:val="21"/>
          <w:szCs w:val="21"/>
        </w:rPr>
        <w:tab/>
      </w:r>
      <w:r>
        <w:rPr>
          <w:rFonts w:hint="eastAsia" w:ascii="宋体" w:hAnsi="宋体" w:eastAsia="宋体" w:cs="宋体"/>
          <w:bCs/>
          <w:sz w:val="21"/>
          <w:szCs w:val="21"/>
        </w:rPr>
        <w:t>未按规定的格式填写，内容不全或关键字迹模糊、无法辨认；</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(9)</w:t>
      </w:r>
      <w:r>
        <w:rPr>
          <w:rFonts w:hint="eastAsia" w:ascii="宋体" w:hAnsi="宋体" w:eastAsia="宋体" w:cs="宋体"/>
          <w:bCs/>
          <w:sz w:val="21"/>
          <w:szCs w:val="21"/>
        </w:rPr>
        <w:tab/>
      </w:r>
      <w:r>
        <w:rPr>
          <w:rFonts w:hint="eastAsia" w:ascii="宋体" w:hAnsi="宋体" w:eastAsia="宋体" w:cs="宋体"/>
          <w:bCs/>
          <w:sz w:val="21"/>
          <w:szCs w:val="21"/>
        </w:rPr>
        <w:t>供应商有串通响应、弄虚作假、行贿等违法行为</w:t>
      </w:r>
    </w:p>
    <w:p>
      <w:pPr>
        <w:tabs>
          <w:tab w:val="left" w:pos="851"/>
        </w:tabs>
        <w:spacing w:line="360" w:lineRule="auto"/>
        <w:rPr>
          <w:rFonts w:hint="eastAsia" w:ascii="宋体" w:hAnsi="宋体" w:eastAsia="宋体" w:cs="宋体"/>
          <w:b/>
          <w:sz w:val="21"/>
          <w:szCs w:val="21"/>
        </w:rPr>
      </w:pPr>
      <w:r>
        <w:rPr>
          <w:rFonts w:hint="eastAsia" w:ascii="宋体" w:hAnsi="宋体" w:eastAsia="宋体" w:cs="宋体"/>
          <w:b/>
          <w:sz w:val="21"/>
          <w:szCs w:val="21"/>
        </w:rPr>
        <w:t>四、澄清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标小组对于投标文件中含义不明确、同类问题表述不一致或者有明显文字和计算错误的内容，评标小组可以书面要求投标人在规定的时限内作出必要的澄清、说明或者补正，投标人的澄清、说明或者补正应当采用书面形式，由其法定代表人或其授权代表人签字，并不得超出投标文件的范围或者改变投标文件的实质性内容。投标人拒不进行澄清、说明、补正的，或者不能在规定时间内作出书面澄清、说明、补正的，其开标将被作为无效开标处理。</w:t>
      </w:r>
    </w:p>
    <w:p>
      <w:pPr>
        <w:spacing w:line="360" w:lineRule="auto"/>
        <w:rPr>
          <w:rFonts w:hint="eastAsia" w:ascii="宋体" w:hAnsi="宋体" w:eastAsia="宋体" w:cs="宋体"/>
          <w:sz w:val="21"/>
          <w:szCs w:val="21"/>
        </w:rPr>
      </w:pPr>
      <w:r>
        <w:rPr>
          <w:rFonts w:hint="eastAsia" w:ascii="宋体" w:hAnsi="宋体" w:eastAsia="宋体" w:cs="宋体"/>
          <w:bCs/>
          <w:sz w:val="21"/>
          <w:szCs w:val="21"/>
          <w:shd w:val="clear" w:color="auto" w:fill="FFFFFF"/>
        </w:rPr>
        <w:t>五、评审方法：</w:t>
      </w:r>
    </w:p>
    <w:p>
      <w:pPr>
        <w:spacing w:line="520" w:lineRule="exact"/>
        <w:rPr>
          <w:rFonts w:hint="eastAsia" w:ascii="宋体" w:hAnsi="宋体" w:eastAsia="宋体" w:cs="宋体"/>
          <w:bCs/>
          <w:sz w:val="21"/>
          <w:szCs w:val="21"/>
        </w:rPr>
      </w:pPr>
      <w:r>
        <w:rPr>
          <w:rFonts w:hint="eastAsia" w:ascii="宋体" w:hAnsi="宋体" w:eastAsia="宋体" w:cs="宋体"/>
          <w:bCs/>
          <w:sz w:val="21"/>
          <w:szCs w:val="21"/>
          <w:shd w:val="clear" w:color="auto" w:fill="FFFFFF"/>
        </w:rPr>
        <w:t>评分标准如下：价格部分、商务部分和技术部分按百分制打分，</w:t>
      </w:r>
      <w:r>
        <w:rPr>
          <w:rFonts w:hint="eastAsia" w:ascii="宋体" w:hAnsi="宋体" w:eastAsia="宋体" w:cs="宋体"/>
          <w:bCs/>
          <w:sz w:val="21"/>
          <w:szCs w:val="21"/>
        </w:rPr>
        <w:t>按四舍五入取至小数点后两位</w:t>
      </w:r>
    </w:p>
    <w:p>
      <w:pPr>
        <w:pStyle w:val="30"/>
        <w:widowControl/>
        <w:numPr>
          <w:ilvl w:val="0"/>
          <w:numId w:val="5"/>
        </w:numPr>
        <w:spacing w:line="580" w:lineRule="exact"/>
        <w:ind w:firstLineChars="0"/>
        <w:jc w:val="left"/>
        <w:rPr>
          <w:rFonts w:ascii="Arial Unicode MS" w:hAnsi="宋体" w:eastAsia="Arial Unicode MS" w:cs="仿宋_GB2312"/>
          <w:bCs/>
          <w:sz w:val="28"/>
          <w:szCs w:val="28"/>
          <w:shd w:val="clear" w:color="auto" w:fill="FFFFFF"/>
        </w:rPr>
      </w:pPr>
      <w:r>
        <w:rPr>
          <w:rFonts w:hint="eastAsia" w:ascii="Arial Unicode MS" w:hAnsi="宋体" w:eastAsia="Arial Unicode MS" w:cs="仿宋_GB2312"/>
          <w:bCs/>
          <w:sz w:val="28"/>
          <w:szCs w:val="28"/>
          <w:shd w:val="clear" w:color="auto" w:fill="FFFFFF"/>
        </w:rPr>
        <w:t>价格部分（</w:t>
      </w:r>
      <w:r>
        <w:rPr>
          <w:rFonts w:ascii="Arial Unicode MS" w:hAnsi="宋体" w:eastAsia="Arial Unicode MS" w:cs="仿宋_GB2312"/>
          <w:bCs/>
          <w:sz w:val="28"/>
          <w:szCs w:val="28"/>
          <w:shd w:val="clear" w:color="auto" w:fill="FFFFFF"/>
        </w:rPr>
        <w:t>60</w:t>
      </w:r>
      <w:r>
        <w:rPr>
          <w:rFonts w:hint="eastAsia" w:ascii="Arial Unicode MS" w:hAnsi="宋体" w:eastAsia="Arial Unicode MS" w:cs="仿宋_GB2312"/>
          <w:bCs/>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同等条件报价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60</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rPr>
                <w:rFonts w:ascii="宋体" w:hAnsi="宋体" w:eastAsia="宋体"/>
                <w:bCs/>
                <w:szCs w:val="21"/>
              </w:rPr>
            </w:pPr>
            <w:r>
              <w:rPr>
                <w:rFonts w:hint="eastAsia" w:ascii="宋体" w:hAnsi="宋体" w:eastAsia="宋体"/>
                <w:bCs/>
                <w:szCs w:val="21"/>
              </w:rPr>
              <w:t>1.评审基准价的确定方法：</w:t>
            </w:r>
          </w:p>
          <w:p>
            <w:pPr>
              <w:spacing w:line="240" w:lineRule="atLeast"/>
              <w:rPr>
                <w:rFonts w:ascii="宋体" w:hAnsi="宋体" w:eastAsia="宋体"/>
                <w:bCs/>
                <w:szCs w:val="21"/>
              </w:rPr>
            </w:pPr>
            <w:r>
              <w:rPr>
                <w:rFonts w:hint="eastAsia" w:ascii="宋体" w:hAnsi="宋体" w:eastAsia="宋体"/>
                <w:bCs/>
                <w:szCs w:val="21"/>
              </w:rPr>
              <w:t>将全部有效报价的</w:t>
            </w:r>
            <w:r>
              <w:rPr>
                <w:rFonts w:hint="eastAsia" w:ascii="宋体" w:hAnsi="宋体" w:eastAsia="宋体"/>
                <w:bCs/>
                <w:szCs w:val="21"/>
                <w:lang w:val="en-US" w:eastAsia="zh-CN"/>
              </w:rPr>
              <w:t>平均价</w:t>
            </w:r>
            <w:r>
              <w:rPr>
                <w:rFonts w:hint="eastAsia" w:ascii="宋体" w:hAnsi="宋体" w:eastAsia="宋体"/>
                <w:bCs/>
                <w:szCs w:val="21"/>
              </w:rPr>
              <w:t>作为评审基准价。</w:t>
            </w:r>
          </w:p>
          <w:p>
            <w:pPr>
              <w:spacing w:line="240" w:lineRule="atLeast"/>
              <w:rPr>
                <w:rFonts w:ascii="宋体" w:hAnsi="宋体" w:eastAsia="宋体"/>
                <w:bCs/>
                <w:szCs w:val="21"/>
              </w:rPr>
            </w:pPr>
            <w:r>
              <w:rPr>
                <w:rFonts w:hint="eastAsia" w:ascii="宋体" w:hAnsi="宋体" w:eastAsia="宋体"/>
                <w:bCs/>
                <w:szCs w:val="21"/>
              </w:rPr>
              <w:t>2.评分标准</w:t>
            </w:r>
          </w:p>
          <w:p>
            <w:pPr>
              <w:widowControl/>
              <w:snapToGrid w:val="0"/>
              <w:spacing w:line="240" w:lineRule="atLeast"/>
              <w:jc w:val="left"/>
              <w:rPr>
                <w:rFonts w:ascii="宋体" w:hAnsi="宋体" w:eastAsia="宋体" w:cs="宋体"/>
                <w:bCs/>
                <w:kern w:val="0"/>
                <w:szCs w:val="21"/>
              </w:rPr>
            </w:pPr>
            <w:r>
              <w:rPr>
                <w:rFonts w:hint="eastAsia" w:ascii="宋体" w:hAnsi="宋体" w:eastAsia="宋体"/>
                <w:bCs/>
                <w:szCs w:val="21"/>
              </w:rPr>
              <w:t xml:space="preserve">报价得分计算方法（60分）：以响应报价的评审基准价为60分，采用内插法计算，供应商报价每高于评审基准价 </w:t>
            </w:r>
            <w:r>
              <w:rPr>
                <w:rFonts w:hint="eastAsia" w:ascii="宋体" w:hAnsi="宋体" w:eastAsia="宋体"/>
                <w:bCs/>
                <w:szCs w:val="21"/>
                <w:lang w:val="en-US" w:eastAsia="zh-CN"/>
              </w:rPr>
              <w:t>1</w:t>
            </w:r>
            <w:r>
              <w:rPr>
                <w:rFonts w:hint="eastAsia" w:ascii="宋体" w:hAnsi="宋体" w:eastAsia="宋体"/>
                <w:bCs/>
                <w:szCs w:val="21"/>
              </w:rPr>
              <w:t xml:space="preserve">％的扣 </w:t>
            </w:r>
            <w:r>
              <w:rPr>
                <w:rFonts w:hint="eastAsia" w:ascii="宋体" w:hAnsi="宋体" w:eastAsia="宋体"/>
                <w:bCs/>
                <w:szCs w:val="21"/>
                <w:lang w:val="en-US" w:eastAsia="zh-CN"/>
              </w:rPr>
              <w:t>2</w:t>
            </w:r>
            <w:r>
              <w:rPr>
                <w:rFonts w:hint="eastAsia" w:ascii="宋体" w:hAnsi="宋体" w:eastAsia="宋体"/>
                <w:bCs/>
                <w:szCs w:val="21"/>
              </w:rPr>
              <w:t xml:space="preserve">分，每低于评审基准价 </w:t>
            </w:r>
            <w:r>
              <w:rPr>
                <w:rFonts w:hint="eastAsia" w:ascii="宋体" w:hAnsi="宋体" w:eastAsia="宋体"/>
                <w:bCs/>
                <w:szCs w:val="21"/>
                <w:lang w:val="en-US" w:eastAsia="zh-CN"/>
              </w:rPr>
              <w:t>1</w:t>
            </w:r>
            <w:r>
              <w:rPr>
                <w:rFonts w:hint="eastAsia" w:ascii="宋体" w:hAnsi="宋体" w:eastAsia="宋体"/>
                <w:bCs/>
                <w:szCs w:val="21"/>
              </w:rPr>
              <w:t xml:space="preserve">％的扣 </w:t>
            </w:r>
            <w:r>
              <w:rPr>
                <w:rFonts w:hint="eastAsia" w:ascii="宋体" w:hAnsi="宋体" w:eastAsia="宋体"/>
                <w:bCs/>
                <w:szCs w:val="21"/>
                <w:lang w:val="en-US" w:eastAsia="zh-CN"/>
              </w:rPr>
              <w:t>0.5</w:t>
            </w:r>
            <w:r>
              <w:rPr>
                <w:rFonts w:hint="eastAsia" w:ascii="宋体" w:hAnsi="宋体" w:eastAsia="宋体"/>
                <w:bCs/>
                <w:szCs w:val="21"/>
              </w:rPr>
              <w:t>分，计算出供应商的响应报价得分。最低不低于 30 分，不足1%部分按直线插入法计算得分（四舍五入法精确到小数点后两位）。</w:t>
            </w:r>
          </w:p>
        </w:tc>
      </w:tr>
    </w:tbl>
    <w:p>
      <w:pPr>
        <w:widowControl/>
        <w:spacing w:line="240" w:lineRule="atLeast"/>
        <w:jc w:val="left"/>
        <w:rPr>
          <w:rFonts w:ascii="宋体" w:hAnsi="宋体" w:eastAsia="宋体" w:cs="仿宋_GB2312"/>
          <w:b/>
          <w:sz w:val="28"/>
          <w:szCs w:val="28"/>
          <w:shd w:val="clear" w:color="auto" w:fill="FFFFFF"/>
        </w:rPr>
      </w:pPr>
      <w:r>
        <w:rPr>
          <w:rFonts w:hint="eastAsia" w:ascii="宋体" w:hAnsi="宋体" w:eastAsia="宋体" w:cs="仿宋_GB2312"/>
          <w:b/>
          <w:sz w:val="28"/>
          <w:szCs w:val="28"/>
          <w:shd w:val="clear" w:color="auto" w:fill="FFFFFF"/>
        </w:rPr>
        <w:t>（</w:t>
      </w:r>
      <w:r>
        <w:rPr>
          <w:rFonts w:ascii="宋体" w:hAnsi="宋体" w:eastAsia="宋体" w:cs="仿宋_GB2312"/>
          <w:b/>
          <w:sz w:val="28"/>
          <w:szCs w:val="28"/>
          <w:shd w:val="clear" w:color="auto" w:fill="FFFFFF"/>
        </w:rPr>
        <w:t>2</w:t>
      </w:r>
      <w:r>
        <w:rPr>
          <w:rFonts w:hint="eastAsia" w:ascii="宋体" w:hAnsi="宋体" w:eastAsia="宋体" w:cs="仿宋_GB2312"/>
          <w:b/>
          <w:sz w:val="28"/>
          <w:szCs w:val="28"/>
          <w:shd w:val="clear" w:color="auto" w:fill="FFFFFF"/>
        </w:rPr>
        <w:t>）商务部分（</w:t>
      </w:r>
      <w:r>
        <w:rPr>
          <w:rFonts w:ascii="宋体" w:hAnsi="宋体" w:eastAsia="宋体" w:cs="仿宋_GB2312"/>
          <w:b/>
          <w:sz w:val="28"/>
          <w:szCs w:val="28"/>
          <w:shd w:val="clear" w:color="auto" w:fill="FFFFFF"/>
        </w:rPr>
        <w:t>10</w:t>
      </w:r>
      <w:r>
        <w:rPr>
          <w:rFonts w:hint="eastAsia" w:ascii="宋体" w:hAnsi="宋体" w:eastAsia="宋体" w:cs="仿宋_GB2312"/>
          <w:b/>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szCs w:val="21"/>
              </w:rPr>
              <w:t>资信证明</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2</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1.获得</w:t>
            </w:r>
            <w:r>
              <w:rPr>
                <w:rFonts w:hint="eastAsia" w:ascii="宋体" w:hAnsi="宋体" w:eastAsia="宋体"/>
                <w:szCs w:val="21"/>
                <w:lang w:val="en-US" w:eastAsia="zh-CN"/>
              </w:rPr>
              <w:t>本项目工程</w:t>
            </w:r>
            <w:r>
              <w:rPr>
                <w:rFonts w:hint="eastAsia" w:ascii="宋体" w:hAnsi="宋体" w:eastAsia="宋体"/>
                <w:szCs w:val="21"/>
              </w:rPr>
              <w:t>相关荣誉证书，每一项加0.5分，最高加</w:t>
            </w:r>
            <w:r>
              <w:rPr>
                <w:rFonts w:ascii="宋体" w:hAnsi="宋体" w:eastAsia="宋体"/>
                <w:szCs w:val="21"/>
              </w:rPr>
              <w:t>2</w:t>
            </w:r>
            <w:r>
              <w:rPr>
                <w:rFonts w:hint="eastAsia" w:ascii="宋体" w:hAnsi="宋体"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kern w:val="0"/>
                <w:szCs w:val="21"/>
              </w:rPr>
              <w:t>企业业绩</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8</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自2</w:t>
            </w:r>
            <w:r>
              <w:rPr>
                <w:rFonts w:ascii="宋体" w:hAnsi="宋体" w:eastAsia="宋体"/>
                <w:szCs w:val="21"/>
              </w:rPr>
              <w:t>02</w:t>
            </w:r>
            <w:r>
              <w:rPr>
                <w:rFonts w:hint="eastAsia" w:ascii="宋体" w:hAnsi="宋体" w:eastAsia="宋体"/>
                <w:szCs w:val="21"/>
                <w:lang w:val="en-US" w:eastAsia="zh-CN"/>
              </w:rPr>
              <w:t>1</w:t>
            </w:r>
            <w:r>
              <w:rPr>
                <w:rFonts w:hint="eastAsia" w:ascii="宋体" w:hAnsi="宋体" w:eastAsia="宋体"/>
                <w:szCs w:val="21"/>
              </w:rPr>
              <w:t>年以来签订过相关</w:t>
            </w:r>
            <w:r>
              <w:rPr>
                <w:rFonts w:hint="eastAsia" w:ascii="宋体" w:hAnsi="宋体" w:eastAsia="宋体"/>
                <w:szCs w:val="21"/>
                <w:lang w:val="en-US" w:eastAsia="zh-CN"/>
              </w:rPr>
              <w:t>项目</w:t>
            </w:r>
            <w:r>
              <w:rPr>
                <w:rFonts w:hint="eastAsia" w:ascii="宋体" w:hAnsi="宋体" w:eastAsia="宋体"/>
                <w:szCs w:val="21"/>
              </w:rPr>
              <w:t>合同的业绩，有1个得</w:t>
            </w:r>
            <w:r>
              <w:rPr>
                <w:rFonts w:hint="eastAsia" w:ascii="宋体" w:hAnsi="宋体" w:eastAsia="宋体"/>
                <w:szCs w:val="21"/>
                <w:lang w:val="en-US" w:eastAsia="zh-CN"/>
              </w:rPr>
              <w:t>2</w:t>
            </w:r>
            <w:r>
              <w:rPr>
                <w:rFonts w:hint="eastAsia" w:ascii="宋体" w:hAnsi="宋体" w:eastAsia="宋体"/>
                <w:szCs w:val="21"/>
              </w:rPr>
              <w:t>分。最多不超过</w:t>
            </w:r>
            <w:r>
              <w:rPr>
                <w:rFonts w:ascii="宋体" w:hAnsi="宋体" w:eastAsia="宋体"/>
                <w:szCs w:val="21"/>
              </w:rPr>
              <w:t>8</w:t>
            </w:r>
            <w:r>
              <w:rPr>
                <w:rFonts w:hint="eastAsia" w:ascii="宋体" w:hAnsi="宋体" w:eastAsia="宋体"/>
                <w:szCs w:val="21"/>
              </w:rPr>
              <w:t>分。</w:t>
            </w:r>
          </w:p>
          <w:p>
            <w:pPr>
              <w:widowControl/>
              <w:tabs>
                <w:tab w:val="left" w:pos="312"/>
              </w:tabs>
              <w:snapToGrid w:val="0"/>
              <w:spacing w:line="240" w:lineRule="atLeast"/>
              <w:jc w:val="left"/>
              <w:rPr>
                <w:rFonts w:ascii="宋体" w:hAnsi="宋体" w:eastAsia="宋体" w:cs="宋体"/>
                <w:bCs/>
                <w:kern w:val="0"/>
                <w:szCs w:val="21"/>
              </w:rPr>
            </w:pPr>
            <w:r>
              <w:rPr>
                <w:rFonts w:hint="eastAsia" w:ascii="宋体" w:hAnsi="宋体" w:eastAsia="宋体"/>
                <w:szCs w:val="21"/>
              </w:rPr>
              <w:t>提供的业绩均须以服务合同为准。提供的业绩均须以服务合同、荣誉证书复印件或其它证明材料为准。</w:t>
            </w:r>
          </w:p>
        </w:tc>
      </w:tr>
    </w:tbl>
    <w:p>
      <w:pPr>
        <w:spacing w:line="240" w:lineRule="atLeast"/>
        <w:rPr>
          <w:rFonts w:ascii="宋体" w:hAnsi="宋体" w:eastAsia="宋体" w:cs="仿宋_GB2312"/>
          <w:b/>
          <w:bCs/>
          <w:sz w:val="28"/>
          <w:szCs w:val="28"/>
        </w:rPr>
      </w:pPr>
      <w:r>
        <w:rPr>
          <w:rFonts w:hint="eastAsia" w:ascii="宋体" w:hAnsi="宋体" w:eastAsia="宋体" w:cs="仿宋_GB2312"/>
          <w:b/>
          <w:bCs/>
          <w:sz w:val="28"/>
          <w:szCs w:val="28"/>
        </w:rPr>
        <w:t>（</w:t>
      </w:r>
      <w:r>
        <w:rPr>
          <w:rFonts w:ascii="宋体" w:hAnsi="宋体" w:eastAsia="宋体" w:cs="仿宋_GB2312"/>
          <w:b/>
          <w:bCs/>
          <w:sz w:val="28"/>
          <w:szCs w:val="28"/>
        </w:rPr>
        <w:t>3</w:t>
      </w:r>
      <w:r>
        <w:rPr>
          <w:rFonts w:hint="eastAsia" w:ascii="宋体" w:hAnsi="宋体" w:eastAsia="宋体" w:cs="仿宋_GB2312"/>
          <w:b/>
          <w:bCs/>
          <w:sz w:val="28"/>
          <w:szCs w:val="28"/>
        </w:rPr>
        <w:t>）技术部分（</w:t>
      </w:r>
      <w:r>
        <w:rPr>
          <w:rFonts w:ascii="宋体" w:hAnsi="宋体" w:eastAsia="宋体" w:cs="仿宋_GB2312"/>
          <w:b/>
          <w:bCs/>
          <w:sz w:val="28"/>
          <w:szCs w:val="28"/>
        </w:rPr>
        <w:t>30</w:t>
      </w:r>
      <w:r>
        <w:rPr>
          <w:rFonts w:hint="eastAsia" w:ascii="宋体" w:hAnsi="宋体" w:eastAsia="宋体" w:cs="仿宋_GB2312"/>
          <w:b/>
          <w:bCs/>
          <w:sz w:val="28"/>
          <w:szCs w:val="28"/>
        </w:rPr>
        <w:t>分）</w:t>
      </w:r>
    </w:p>
    <w:tbl>
      <w:tblPr>
        <w:tblStyle w:val="22"/>
        <w:tblW w:w="964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3"/>
        <w:gridCol w:w="1507"/>
        <w:gridCol w:w="767"/>
        <w:gridCol w:w="5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施工方案与技术措施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15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1、施工方案中施工准备、作业方法、施工工序是否符合现场实际， 并且做到安全、经济、环保，方案中是否体现焊缝、背弧面的打磨方法，手孔切割、恢复焊接方法以及相应的作业标准。（6 分）</w:t>
            </w:r>
          </w:p>
          <w:p>
            <w:pPr>
              <w:spacing w:line="240" w:lineRule="atLeast"/>
              <w:rPr>
                <w:rFonts w:ascii="宋体" w:hAnsi="宋体" w:eastAsia="宋体"/>
                <w:bCs/>
                <w:spacing w:val="-4"/>
                <w:szCs w:val="21"/>
              </w:rPr>
            </w:pPr>
            <w:r>
              <w:rPr>
                <w:rFonts w:hint="eastAsia" w:ascii="宋体" w:hAnsi="宋体" w:eastAsia="宋体"/>
                <w:bCs/>
                <w:spacing w:val="-4"/>
                <w:szCs w:val="21"/>
              </w:rPr>
              <w:t>2、施工方案是否符合</w:t>
            </w:r>
            <w:r>
              <w:rPr>
                <w:rFonts w:hint="eastAsia" w:ascii="宋体" w:hAnsi="宋体" w:eastAsia="宋体"/>
                <w:bCs/>
                <w:spacing w:val="-4"/>
                <w:szCs w:val="21"/>
                <w:lang w:val="en-US" w:eastAsia="zh-CN"/>
              </w:rPr>
              <w:t>本</w:t>
            </w:r>
            <w:r>
              <w:rPr>
                <w:rFonts w:hint="eastAsia" w:ascii="宋体" w:hAnsi="宋体" w:eastAsia="宋体"/>
                <w:bCs/>
                <w:spacing w:val="-4"/>
                <w:szCs w:val="21"/>
              </w:rPr>
              <w:t>项目的施工要求，明确现场施工标准以检验机构要求为准，并有相关的质量管控方法及内部管控标准；（4 分）</w:t>
            </w:r>
          </w:p>
          <w:p>
            <w:pPr>
              <w:spacing w:line="240" w:lineRule="atLeast"/>
              <w:rPr>
                <w:rFonts w:ascii="宋体" w:hAnsi="宋体" w:eastAsia="宋体"/>
                <w:bCs/>
                <w:spacing w:val="-4"/>
                <w:szCs w:val="21"/>
              </w:rPr>
            </w:pPr>
            <w:r>
              <w:rPr>
                <w:rFonts w:hint="eastAsia" w:ascii="宋体" w:hAnsi="宋体" w:eastAsia="宋体"/>
                <w:bCs/>
                <w:spacing w:val="-4"/>
                <w:szCs w:val="21"/>
              </w:rPr>
              <w:t>3、施工方案中是否有针对本项目的安全文明施工措施；（3 分）</w:t>
            </w:r>
          </w:p>
          <w:p>
            <w:pPr>
              <w:widowControl/>
              <w:spacing w:line="240" w:lineRule="atLeast"/>
              <w:jc w:val="left"/>
              <w:rPr>
                <w:rFonts w:ascii="宋体" w:hAnsi="宋体" w:eastAsia="宋体" w:cs="宋体"/>
                <w:bCs/>
                <w:kern w:val="0"/>
                <w:szCs w:val="21"/>
              </w:rPr>
            </w:pPr>
            <w:r>
              <w:rPr>
                <w:rFonts w:hint="eastAsia" w:ascii="宋体" w:hAnsi="宋体" w:eastAsia="宋体"/>
                <w:bCs/>
                <w:spacing w:val="-4"/>
                <w:szCs w:val="21"/>
              </w:rPr>
              <w:t>4、施工方案制定施工进度、合理管控工期的合理方案，并有对项目进度偏差的纠偏方法和预案（2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szCs w:val="21"/>
              </w:rPr>
              <w:t>安全管理</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1、配备专（兼）职安全员，形成管理制度，安全员具有国家承认 的相关资质（2 分）</w:t>
            </w:r>
          </w:p>
          <w:p>
            <w:pPr>
              <w:spacing w:line="240" w:lineRule="atLeast"/>
              <w:rPr>
                <w:rFonts w:ascii="宋体" w:hAnsi="宋体" w:eastAsia="宋体"/>
                <w:bCs/>
                <w:spacing w:val="-4"/>
                <w:szCs w:val="21"/>
              </w:rPr>
            </w:pPr>
            <w:r>
              <w:rPr>
                <w:rFonts w:hint="eastAsia" w:ascii="宋体" w:hAnsi="宋体" w:eastAsia="宋体"/>
                <w:bCs/>
                <w:spacing w:val="-4"/>
                <w:szCs w:val="21"/>
              </w:rPr>
              <w:t>2、使用的安全防护设备符合国家标准（2 分）</w:t>
            </w:r>
          </w:p>
          <w:p>
            <w:pPr>
              <w:spacing w:line="240" w:lineRule="atLeast"/>
              <w:rPr>
                <w:rFonts w:hint="eastAsia" w:ascii="宋体" w:hAnsi="宋体" w:eastAsia="宋体"/>
                <w:bCs/>
                <w:spacing w:val="-4"/>
                <w:szCs w:val="21"/>
                <w:lang w:val="en-US" w:eastAsia="zh-CN"/>
              </w:rPr>
            </w:pPr>
            <w:r>
              <w:rPr>
                <w:rFonts w:hint="eastAsia" w:ascii="宋体" w:hAnsi="宋体" w:eastAsia="宋体"/>
                <w:bCs/>
                <w:spacing w:val="-4"/>
                <w:szCs w:val="21"/>
              </w:rPr>
              <w:t>3、其他安全管理制度制定情况（1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3</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szCs w:val="21"/>
              </w:rPr>
            </w:pPr>
            <w:r>
              <w:rPr>
                <w:rFonts w:hint="eastAsia" w:ascii="宋体" w:hAnsi="宋体" w:eastAsia="宋体" w:cs="宋体"/>
                <w:szCs w:val="21"/>
              </w:rPr>
              <w:t>应急响应处置方案</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针对本项目施工过程中可能遇到突发状况制定有效可行的预案：</w:t>
            </w:r>
          </w:p>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1.应急响应预案全面，内容具体、条理清晰、具有可行性，得4.1-</w:t>
            </w:r>
            <w:r>
              <w:rPr>
                <w:rFonts w:ascii="宋体" w:hAnsi="宋体" w:eastAsia="宋体" w:cs="宋体"/>
                <w:kern w:val="0"/>
                <w:szCs w:val="21"/>
              </w:rPr>
              <w:t>5</w:t>
            </w:r>
            <w:r>
              <w:rPr>
                <w:rFonts w:hint="eastAsia" w:ascii="宋体" w:hAnsi="宋体" w:eastAsia="宋体" w:cs="宋体"/>
                <w:kern w:val="0"/>
                <w:szCs w:val="21"/>
              </w:rPr>
              <w:t>分；</w:t>
            </w:r>
          </w:p>
          <w:p>
            <w:pPr>
              <w:pStyle w:val="5"/>
              <w:spacing w:line="240" w:lineRule="atLeast"/>
              <w:ind w:firstLine="0" w:firstLineChars="0"/>
              <w:rPr>
                <w:rFonts w:ascii="宋体" w:hAnsi="宋体"/>
                <w:szCs w:val="21"/>
              </w:rPr>
            </w:pPr>
            <w:r>
              <w:rPr>
                <w:rFonts w:hint="eastAsia" w:ascii="宋体" w:hAnsi="宋体"/>
                <w:szCs w:val="21"/>
              </w:rPr>
              <w:t>2.应急响应预案相对比较全面，措施具有可行性，得2.1-4分；</w:t>
            </w:r>
          </w:p>
          <w:p>
            <w:pPr>
              <w:pStyle w:val="5"/>
              <w:spacing w:line="240" w:lineRule="atLeast"/>
              <w:ind w:firstLine="0" w:firstLineChars="0"/>
              <w:rPr>
                <w:rFonts w:ascii="宋体" w:hAnsi="宋体"/>
                <w:szCs w:val="21"/>
              </w:rPr>
            </w:pPr>
            <w:r>
              <w:rPr>
                <w:rFonts w:hint="eastAsia" w:ascii="宋体" w:hAnsi="宋体"/>
                <w:szCs w:val="21"/>
              </w:rPr>
              <w:t>3.应急响应预案相对简单，措施具有可行性，得0.1-2分</w:t>
            </w:r>
          </w:p>
          <w:p>
            <w:pPr>
              <w:widowControl/>
              <w:spacing w:line="240" w:lineRule="atLeast"/>
              <w:jc w:val="left"/>
              <w:textAlignment w:val="center"/>
              <w:rPr>
                <w:rFonts w:ascii="宋体" w:hAnsi="宋体" w:eastAsia="宋体" w:cs="宋体"/>
                <w:kern w:val="0"/>
                <w:szCs w:val="21"/>
              </w:rPr>
            </w:pPr>
            <w:r>
              <w:rPr>
                <w:rFonts w:hint="eastAsia" w:ascii="宋体" w:hAnsi="宋体" w:eastAsia="宋体"/>
                <w:szCs w:val="21"/>
              </w:rPr>
              <w:t>4.无措施，得0分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4</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szCs w:val="21"/>
              </w:rPr>
            </w:pPr>
            <w:r>
              <w:rPr>
                <w:rFonts w:hint="eastAsia" w:ascii="宋体" w:hAnsi="宋体" w:eastAsia="宋体" w:cs="宋体"/>
                <w:snapToGrid w:val="0"/>
                <w:szCs w:val="21"/>
              </w:rPr>
              <w:t>工程质量的管理体系与保证措施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kern w:val="0"/>
                <w:szCs w:val="21"/>
              </w:rPr>
            </w:pPr>
            <w:r>
              <w:rPr>
                <w:rFonts w:hint="eastAsia" w:ascii="宋体" w:hAnsi="宋体" w:eastAsia="宋体"/>
                <w:kern w:val="0"/>
                <w:szCs w:val="21"/>
                <w:lang w:val="en-US" w:eastAsia="zh-CN"/>
              </w:rPr>
              <w:t>1.</w:t>
            </w:r>
            <w:r>
              <w:rPr>
                <w:rFonts w:hint="eastAsia" w:ascii="宋体" w:hAnsi="宋体" w:eastAsia="宋体"/>
                <w:kern w:val="0"/>
                <w:szCs w:val="21"/>
              </w:rPr>
              <w:t>方案及措施完整且合理的：4</w:t>
            </w:r>
            <w:r>
              <w:rPr>
                <w:rFonts w:hint="eastAsia" w:ascii="宋体" w:hAnsi="宋体" w:eastAsia="宋体"/>
                <w:kern w:val="0"/>
                <w:szCs w:val="21"/>
                <w:lang w:val="en-US" w:eastAsia="zh-CN"/>
              </w:rPr>
              <w:t>.1</w:t>
            </w:r>
            <w:r>
              <w:rPr>
                <w:rFonts w:hint="eastAsia" w:ascii="宋体" w:hAnsi="宋体" w:eastAsia="宋体"/>
                <w:kern w:val="0"/>
                <w:szCs w:val="21"/>
              </w:rPr>
              <w:t>-5分；</w:t>
            </w:r>
          </w:p>
          <w:p>
            <w:pPr>
              <w:adjustRightInd w:val="0"/>
              <w:snapToGrid w:val="0"/>
              <w:spacing w:line="240" w:lineRule="atLeast"/>
              <w:rPr>
                <w:rFonts w:hint="eastAsia" w:ascii="宋体" w:hAnsi="宋体" w:eastAsia="宋体"/>
                <w:kern w:val="0"/>
                <w:szCs w:val="21"/>
              </w:rPr>
            </w:pPr>
            <w:r>
              <w:rPr>
                <w:rFonts w:hint="eastAsia" w:ascii="宋体" w:hAnsi="宋体" w:eastAsia="宋体"/>
                <w:kern w:val="0"/>
                <w:szCs w:val="21"/>
                <w:lang w:val="en-US" w:eastAsia="zh-CN"/>
              </w:rPr>
              <w:t>2.</w:t>
            </w:r>
            <w:r>
              <w:rPr>
                <w:rFonts w:hint="eastAsia" w:ascii="宋体" w:hAnsi="宋体" w:eastAsia="宋体"/>
                <w:kern w:val="0"/>
                <w:szCs w:val="21"/>
              </w:rPr>
              <w:t>内容有一定缺失或针对性不强的：</w:t>
            </w:r>
            <w:r>
              <w:rPr>
                <w:rFonts w:hint="eastAsia" w:ascii="宋体" w:hAnsi="宋体" w:eastAsia="宋体"/>
                <w:kern w:val="0"/>
                <w:szCs w:val="21"/>
                <w:lang w:val="en-US" w:eastAsia="zh-CN"/>
              </w:rPr>
              <w:t>2.1</w:t>
            </w:r>
            <w:r>
              <w:rPr>
                <w:rFonts w:hint="eastAsia" w:ascii="宋体" w:hAnsi="宋体" w:eastAsia="宋体"/>
                <w:kern w:val="0"/>
                <w:szCs w:val="21"/>
              </w:rPr>
              <w:t>-</w:t>
            </w:r>
            <w:r>
              <w:rPr>
                <w:rFonts w:hint="eastAsia" w:ascii="宋体" w:hAnsi="宋体" w:eastAsia="宋体"/>
                <w:kern w:val="0"/>
                <w:szCs w:val="21"/>
                <w:lang w:val="en-US" w:eastAsia="zh-CN"/>
              </w:rPr>
              <w:t>4</w:t>
            </w:r>
            <w:r>
              <w:rPr>
                <w:rFonts w:hint="eastAsia" w:ascii="宋体" w:hAnsi="宋体" w:eastAsia="宋体"/>
                <w:kern w:val="0"/>
                <w:szCs w:val="21"/>
              </w:rPr>
              <w:t>分；</w:t>
            </w:r>
          </w:p>
          <w:p>
            <w:pPr>
              <w:adjustRightInd w:val="0"/>
              <w:snapToGrid w:val="0"/>
              <w:spacing w:line="240" w:lineRule="atLeast"/>
              <w:rPr>
                <w:rFonts w:hint="eastAsia" w:ascii="宋体" w:hAnsi="宋体" w:eastAsia="宋体"/>
                <w:kern w:val="0"/>
                <w:szCs w:val="21"/>
              </w:rPr>
            </w:pPr>
            <w:r>
              <w:rPr>
                <w:rFonts w:hint="eastAsia" w:ascii="宋体" w:hAnsi="宋体" w:eastAsia="宋体"/>
                <w:kern w:val="0"/>
                <w:szCs w:val="21"/>
                <w:lang w:val="en-US" w:eastAsia="zh-CN"/>
              </w:rPr>
              <w:t>3.</w:t>
            </w:r>
            <w:r>
              <w:rPr>
                <w:rFonts w:hint="eastAsia" w:ascii="宋体" w:hAnsi="宋体" w:eastAsia="宋体"/>
                <w:kern w:val="0"/>
                <w:szCs w:val="21"/>
              </w:rPr>
              <w:t>内容严重缺失且无针对性的：0</w:t>
            </w:r>
            <w:r>
              <w:rPr>
                <w:rFonts w:hint="eastAsia" w:ascii="宋体" w:hAnsi="宋体" w:eastAsia="宋体"/>
                <w:kern w:val="0"/>
                <w:szCs w:val="21"/>
                <w:lang w:val="en-US" w:eastAsia="zh-CN"/>
              </w:rPr>
              <w:t>-2</w:t>
            </w:r>
            <w:r>
              <w:rPr>
                <w:rFonts w:hint="eastAsia" w:ascii="宋体" w:hAnsi="宋体" w:eastAsia="宋体"/>
                <w:kern w:val="0"/>
                <w:szCs w:val="21"/>
              </w:rPr>
              <w:t>分。</w:t>
            </w:r>
          </w:p>
          <w:p>
            <w:pPr>
              <w:adjustRightInd w:val="0"/>
              <w:snapToGrid w:val="0"/>
              <w:spacing w:line="240" w:lineRule="atLeast"/>
              <w:rPr>
                <w:rFonts w:hint="default" w:ascii="宋体" w:hAnsi="宋体" w:eastAsia="宋体"/>
                <w:kern w:val="0"/>
                <w:szCs w:val="21"/>
                <w:lang w:val="en-US" w:eastAsia="zh-CN"/>
              </w:rPr>
            </w:pPr>
            <w:r>
              <w:rPr>
                <w:rFonts w:hint="eastAsia" w:ascii="宋体" w:hAnsi="宋体" w:eastAsia="宋体"/>
                <w:kern w:val="0"/>
                <w:szCs w:val="21"/>
                <w:lang w:val="en-US" w:eastAsia="zh-CN"/>
              </w:rPr>
              <w:t>4.</w:t>
            </w:r>
            <w:r>
              <w:rPr>
                <w:rFonts w:hint="eastAsia" w:ascii="宋体" w:hAnsi="宋体" w:eastAsia="宋体"/>
                <w:szCs w:val="21"/>
              </w:rPr>
              <w:t>无措施，得0分</w:t>
            </w:r>
          </w:p>
        </w:tc>
      </w:tr>
    </w:tbl>
    <w:p>
      <w:pPr>
        <w:spacing w:line="520" w:lineRule="exact"/>
        <w:rPr>
          <w:rFonts w:ascii="仿宋_GB2312" w:hAnsi="仿宋_GB2312" w:eastAsia="仿宋_GB2312" w:cs="仿宋_GB2312"/>
          <w:bCs/>
          <w:sz w:val="28"/>
          <w:szCs w:val="28"/>
        </w:rPr>
      </w:pPr>
    </w:p>
    <w:p>
      <w:pPr>
        <w:spacing w:line="520" w:lineRule="exact"/>
        <w:rPr>
          <w:rFonts w:hint="eastAsia" w:ascii="宋体" w:hAnsi="宋体" w:eastAsia="宋体" w:cs="宋体"/>
          <w:b/>
          <w:bCs w:val="0"/>
          <w:sz w:val="21"/>
          <w:szCs w:val="21"/>
        </w:rPr>
      </w:pPr>
      <w:r>
        <w:rPr>
          <w:rFonts w:hint="eastAsia" w:ascii="宋体" w:hAnsi="宋体" w:eastAsia="宋体" w:cs="宋体"/>
          <w:b/>
          <w:bCs w:val="0"/>
          <w:sz w:val="21"/>
          <w:szCs w:val="21"/>
        </w:rPr>
        <w:t>二、推荐入围单位</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（1）按评审得分由高到低顺序排列。得分相同的，按评标价由低到高顺序排列。得分且评标价相同的，按技术指标优劣顺序排列。得分、评标价及技术指标相同的，由评标委员会集体研究处理。</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（2）评审中遇到的其它问题，由评标小组集体研究处理。</w:t>
      </w:r>
    </w:p>
    <w:p>
      <w:pPr>
        <w:spacing w:line="520" w:lineRule="exact"/>
        <w:ind w:firstLine="455" w:firstLineChars="217"/>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评标小组根据评标专家评分及签字的会议纪要，推荐入围单位。</w:t>
      </w:r>
    </w:p>
    <w:p>
      <w:pPr>
        <w:spacing w:line="520" w:lineRule="exact"/>
        <w:rPr>
          <w:rFonts w:hint="eastAsia" w:ascii="宋体" w:hAnsi="宋体" w:eastAsia="宋体" w:cs="宋体"/>
          <w:b/>
          <w:bCs/>
          <w:sz w:val="21"/>
          <w:szCs w:val="21"/>
        </w:rPr>
      </w:pPr>
      <w:r>
        <w:rPr>
          <w:rFonts w:hint="eastAsia" w:ascii="宋体" w:hAnsi="宋体" w:eastAsia="宋体" w:cs="宋体"/>
          <w:b/>
          <w:bCs/>
          <w:sz w:val="21"/>
          <w:szCs w:val="21"/>
        </w:rPr>
        <w:t>三、中标单位的确定</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招标方谈判小组根据综合评分情况初步确定中标单位，并将评标结果按审批流程报批。</w:t>
      </w:r>
    </w:p>
    <w:p>
      <w:pPr>
        <w:ind w:firstLine="1050" w:firstLineChars="500"/>
        <w:rPr>
          <w:rFonts w:hint="eastAsia" w:ascii="宋体" w:hAnsi="宋体" w:eastAsia="宋体" w:cs="宋体"/>
          <w:bCs/>
          <w:sz w:val="21"/>
          <w:szCs w:val="21"/>
        </w:rPr>
      </w:pPr>
    </w:p>
    <w:p>
      <w:pPr>
        <w:widowControl/>
        <w:jc w:val="left"/>
        <w:rPr>
          <w:rFonts w:hint="eastAsia" w:ascii="宋体" w:hAnsi="宋体" w:eastAsia="宋体" w:cs="宋体"/>
          <w:bCs/>
          <w:sz w:val="21"/>
          <w:szCs w:val="21"/>
        </w:rPr>
      </w:pPr>
      <w:r>
        <w:rPr>
          <w:rFonts w:hint="eastAsia" w:ascii="宋体" w:hAnsi="宋体" w:eastAsia="宋体" w:cs="宋体"/>
          <w:bCs/>
          <w:sz w:val="21"/>
          <w:szCs w:val="21"/>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六</w:t>
      </w:r>
      <w:r>
        <w:rPr>
          <w:rFonts w:hint="eastAsia" w:ascii="黑体" w:eastAsia="黑体"/>
          <w:b/>
          <w:sz w:val="36"/>
          <w:szCs w:val="36"/>
        </w:rPr>
        <w:t xml:space="preserve">章 </w:t>
      </w:r>
      <w:r>
        <w:rPr>
          <w:rFonts w:hint="eastAsia" w:ascii="黑体" w:eastAsia="黑体"/>
          <w:b/>
          <w:sz w:val="36"/>
          <w:szCs w:val="36"/>
          <w:lang w:val="en-US" w:eastAsia="zh-CN"/>
        </w:rPr>
        <w:t>响应文件</w:t>
      </w:r>
    </w:p>
    <w:p>
      <w:pPr>
        <w:spacing w:line="360" w:lineRule="auto"/>
        <w:ind w:firstLine="480"/>
        <w:jc w:val="both"/>
        <w:rPr>
          <w:rFonts w:hint="eastAsia" w:ascii="Arial Unicode MS" w:eastAsia="Arial Unicode MS"/>
          <w:sz w:val="32"/>
          <w:szCs w:val="32"/>
          <w:shd w:val="clear" w:color="auto" w:fill="FFFFFF"/>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numPr>
          <w:ilvl w:val="0"/>
          <w:numId w:val="6"/>
        </w:numPr>
        <w:spacing w:line="400" w:lineRule="exact"/>
        <w:jc w:val="center"/>
        <w:rPr>
          <w:rFonts w:ascii="黑体" w:hAnsi="黑体" w:eastAsia="黑体" w:cs="仿宋_GB2312"/>
          <w:b/>
          <w:bCs/>
          <w:sz w:val="30"/>
          <w:szCs w:val="30"/>
        </w:rPr>
      </w:pPr>
      <w:bookmarkStart w:id="8" w:name="_Toc13912_WPSOffice_Level1"/>
      <w:r>
        <w:rPr>
          <w:rFonts w:hint="eastAsia" w:ascii="黑体" w:hAnsi="黑体" w:eastAsia="黑体" w:cs="仿宋_GB2312"/>
          <w:sz w:val="30"/>
          <w:szCs w:val="30"/>
        </w:rPr>
        <w:t>营业执照、</w:t>
      </w:r>
      <w:r>
        <w:rPr>
          <w:rFonts w:hint="eastAsia" w:ascii="黑体" w:hAnsi="黑体" w:eastAsia="黑体" w:cs="仿宋_GB2312"/>
          <w:sz w:val="30"/>
          <w:szCs w:val="30"/>
          <w:lang w:val="en-US" w:eastAsia="zh-CN"/>
        </w:rPr>
        <w:t>荣誉证书</w:t>
      </w:r>
      <w:r>
        <w:rPr>
          <w:rFonts w:hint="eastAsia" w:ascii="黑体" w:hAnsi="黑体" w:eastAsia="黑体" w:cs="仿宋_GB2312"/>
          <w:sz w:val="30"/>
          <w:szCs w:val="30"/>
        </w:rPr>
        <w:t>等资质文件</w:t>
      </w:r>
    </w:p>
    <w:p>
      <w:pPr>
        <w:tabs>
          <w:tab w:val="left" w:pos="720"/>
        </w:tabs>
        <w:spacing w:line="400" w:lineRule="exact"/>
        <w:jc w:val="center"/>
        <w:rPr>
          <w:rFonts w:hint="eastAsia" w:ascii="宋体" w:hAnsi="宋体" w:eastAsia="宋体" w:cs="宋体"/>
          <w:sz w:val="28"/>
          <w:szCs w:val="28"/>
        </w:rPr>
      </w:pPr>
      <w:r>
        <w:rPr>
          <w:rFonts w:hint="eastAsia" w:ascii="宋体" w:hAnsi="宋体" w:eastAsia="宋体" w:cs="宋体"/>
          <w:sz w:val="28"/>
          <w:szCs w:val="28"/>
        </w:rPr>
        <w:t>投标人营</w:t>
      </w:r>
      <w:r>
        <w:rPr>
          <w:rFonts w:hint="eastAsia" w:ascii="宋体" w:hAnsi="宋体" w:eastAsia="宋体" w:cs="宋体"/>
          <w:sz w:val="28"/>
          <w:szCs w:val="28"/>
          <w:highlight w:val="none"/>
        </w:rPr>
        <w:t>业执照、</w:t>
      </w:r>
      <w:r>
        <w:rPr>
          <w:rFonts w:hint="eastAsia" w:ascii="宋体" w:hAnsi="宋体" w:eastAsia="宋体" w:cs="宋体"/>
          <w:sz w:val="28"/>
          <w:szCs w:val="28"/>
          <w:highlight w:val="none"/>
          <w:lang w:val="en-US" w:eastAsia="zh-CN"/>
        </w:rPr>
        <w:t>建筑机电安装工程专业承包三级及以上资质文件</w:t>
      </w:r>
      <w:r>
        <w:rPr>
          <w:rFonts w:hint="eastAsia" w:ascii="宋体" w:hAnsi="宋体" w:eastAsia="宋体" w:cs="宋体"/>
          <w:sz w:val="28"/>
          <w:szCs w:val="28"/>
          <w:highlight w:val="none"/>
        </w:rPr>
        <w:t>、荣誉证书等（提供复印件并加盖公章，能清晰反映年检情况）。</w:t>
      </w:r>
    </w:p>
    <w:p>
      <w:pPr>
        <w:tabs>
          <w:tab w:val="left" w:pos="720"/>
        </w:tabs>
        <w:spacing w:line="400" w:lineRule="exact"/>
        <w:jc w:val="center"/>
        <w:rPr>
          <w:rFonts w:hint="eastAsia" w:ascii="宋体" w:hAnsi="宋体" w:eastAsia="宋体" w:cs="宋体"/>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numPr>
          <w:ilvl w:val="0"/>
          <w:numId w:val="6"/>
        </w:numPr>
        <w:spacing w:line="400" w:lineRule="exact"/>
        <w:jc w:val="center"/>
        <w:rPr>
          <w:rFonts w:ascii="黑体" w:hAnsi="黑体" w:eastAsia="黑体" w:cs="仿宋_GB2312"/>
          <w:b/>
          <w:bCs/>
          <w:sz w:val="30"/>
          <w:szCs w:val="30"/>
        </w:rPr>
      </w:pPr>
      <w:r>
        <w:rPr>
          <w:rFonts w:hint="eastAsia" w:ascii="黑体" w:hAnsi="黑体" w:eastAsia="黑体" w:cs="仿宋_GB2312"/>
          <w:b/>
          <w:bCs/>
          <w:sz w:val="30"/>
          <w:szCs w:val="30"/>
        </w:rPr>
        <w:t>投标单位的承诺函</w:t>
      </w:r>
      <w:bookmarkEnd w:id="8"/>
    </w:p>
    <w:p>
      <w:pPr>
        <w:spacing w:line="520" w:lineRule="exact"/>
        <w:jc w:val="center"/>
        <w:rPr>
          <w:rFonts w:ascii="仿宋_GB2312" w:hAnsi="仿宋_GB2312" w:eastAsia="仿宋_GB2312" w:cs="仿宋_GB2312"/>
          <w:b/>
          <w:bCs/>
          <w:sz w:val="28"/>
          <w:szCs w:val="28"/>
        </w:rPr>
      </w:pPr>
    </w:p>
    <w:p>
      <w:pPr>
        <w:pStyle w:val="55"/>
        <w:tabs>
          <w:tab w:val="left" w:pos="600"/>
          <w:tab w:val="clear" w:pos="2160"/>
          <w:tab w:val="clear" w:pos="2520"/>
        </w:tabs>
        <w:adjustRightInd w:val="0"/>
        <w:spacing w:line="520" w:lineRule="exact"/>
        <w:rPr>
          <w:rFonts w:ascii="仿宋_GB2312" w:hAnsi="仿宋_GB2312" w:eastAsia="仿宋_GB2312" w:cs="仿宋_GB2312"/>
          <w:szCs w:val="28"/>
          <w:lang w:eastAsia="zh-CN"/>
        </w:rPr>
      </w:pPr>
      <w:r>
        <w:rPr>
          <w:rFonts w:hint="eastAsia" w:ascii="仿宋_GB2312" w:hAnsi="仿宋_GB2312" w:eastAsia="仿宋_GB2312" w:cs="仿宋_GB2312"/>
          <w:snapToGrid/>
          <w:kern w:val="2"/>
          <w:szCs w:val="28"/>
          <w:lang w:val="en-US" w:eastAsia="zh-CN"/>
        </w:rPr>
        <w:t>致：</w:t>
      </w:r>
      <w:r>
        <w:rPr>
          <w:rFonts w:hint="eastAsia" w:ascii="仿宋_GB2312" w:hAnsi="仿宋_GB2312" w:eastAsia="仿宋_GB2312" w:cs="仿宋_GB2312"/>
          <w:snapToGrid/>
          <w:kern w:val="2"/>
          <w:szCs w:val="28"/>
          <w:lang w:val="en-US" w:eastAsia="zh-CN"/>
        </w:rPr>
        <w:tab/>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我代表</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（投标单位名称），在此作如下承诺： </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1.完全理解和接受招标文件的一切规定和要求。</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2.投标报价为闭口价，即在投标有效期，该投标报价固定不变。</w:t>
      </w:r>
    </w:p>
    <w:p>
      <w:pPr>
        <w:pStyle w:val="5"/>
        <w:spacing w:line="520" w:lineRule="exact"/>
        <w:ind w:left="559" w:leftChars="266"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3.若中标，我方将按照招标文件及我方投标文件的具体规定签订</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合同。</w:t>
      </w:r>
    </w:p>
    <w:p>
      <w:pPr>
        <w:pStyle w:val="5"/>
        <w:spacing w:line="520" w:lineRule="exact"/>
        <w:ind w:firstLine="579" w:firstLineChars="207"/>
        <w:rPr>
          <w:rFonts w:ascii="仿宋_GB2312" w:hAnsi="仿宋_GB2312" w:eastAsia="仿宋_GB2312" w:cs="仿宋_GB2312"/>
          <w:sz w:val="28"/>
          <w:szCs w:val="28"/>
        </w:rPr>
      </w:pPr>
      <w:r>
        <w:rPr>
          <w:rFonts w:hint="eastAsia" w:ascii="仿宋_GB2312" w:hAnsi="仿宋_GB2312" w:eastAsia="仿宋_GB2312" w:cs="仿宋_GB2312"/>
          <w:sz w:val="28"/>
          <w:szCs w:val="28"/>
        </w:rPr>
        <w:t>4.在整个招、投标过程中，我方若有违反以下承诺的行为，贵方</w:t>
      </w:r>
    </w:p>
    <w:p>
      <w:pPr>
        <w:pStyle w:val="5"/>
        <w:spacing w:line="520" w:lineRule="exact"/>
        <w:ind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可按招标文件之规定给予惩罚，我方完全接受。</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A.不与招标人、其他投标人或者招标代理机构串通投标，损害国家利益、社会利益或他人的合法权益。</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B.不向招标人或评标委员会成员或相关人员行贿，以牟取中标。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C.不以他人名义投标或者其他方式弄虚作假，骗取中标。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D.不接受任何形式的挂靠，不扰乱招投标市场秩序。</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E.不在投标中哄抬价格或恶意压价。</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F.不在招投标活动中虚假投诉。</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5.在整个招、投标过程中及招、投标结束后，未经招标单位书</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面同意，我方保证不向任何第三方泄露本次招、投标的任何信息、资料及内容。</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6.投标文件中所有关于投标单位资格的文件、证明、陈述均是</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真实的、准确的。若有违背，我公司承担由此而产生的一切后果。</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7.本承诺函与合同具有同等的法律效力。</w:t>
      </w:r>
    </w:p>
    <w:p>
      <w:pPr>
        <w:pStyle w:val="5"/>
        <w:spacing w:line="520" w:lineRule="exact"/>
        <w:ind w:firstLine="3259" w:firstLineChars="116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pStyle w:val="5"/>
        <w:spacing w:line="520" w:lineRule="exact"/>
        <w:ind w:firstLine="3259" w:firstLineChars="1164"/>
        <w:rPr>
          <w:rFonts w:ascii="仿宋_GB2312" w:hAnsi="仿宋_GB2312" w:eastAsia="仿宋_GB2312" w:cs="仿宋_GB2312"/>
          <w:sz w:val="28"/>
          <w:szCs w:val="28"/>
        </w:rPr>
      </w:pPr>
      <w:r>
        <w:rPr>
          <w:rFonts w:hint="eastAsia" w:ascii="仿宋_GB2312" w:hAnsi="仿宋_GB2312" w:eastAsia="仿宋_GB2312" w:cs="仿宋_GB2312"/>
          <w:sz w:val="28"/>
          <w:szCs w:val="28"/>
        </w:rPr>
        <w:t>投标单位：（公章）</w:t>
      </w:r>
    </w:p>
    <w:p>
      <w:pPr>
        <w:pStyle w:val="5"/>
        <w:spacing w:line="520" w:lineRule="exact"/>
        <w:ind w:firstLine="3239" w:firstLineChars="1157"/>
        <w:rPr>
          <w:rFonts w:ascii="宋体" w:hAnsi="宋体"/>
          <w:sz w:val="28"/>
        </w:rPr>
      </w:pPr>
      <w:r>
        <w:rPr>
          <w:rFonts w:hint="eastAsia" w:ascii="仿宋_GB2312" w:hAnsi="仿宋_GB2312" w:eastAsia="仿宋_GB2312" w:cs="仿宋_GB2312"/>
          <w:sz w:val="28"/>
          <w:szCs w:val="28"/>
        </w:rPr>
        <w:t>日期：       年     月    日</w:t>
      </w:r>
    </w:p>
    <w:p>
      <w:pPr>
        <w:spacing w:line="560" w:lineRule="exact"/>
        <w:jc w:val="center"/>
        <w:rPr>
          <w:rFonts w:ascii="仿宋_GB2312" w:hAnsi="仿宋_GB2312" w:eastAsia="仿宋_GB2312" w:cs="仿宋_GB2312"/>
          <w:b/>
          <w:sz w:val="28"/>
          <w:szCs w:val="28"/>
        </w:rPr>
      </w:pPr>
      <w:bookmarkStart w:id="9" w:name="_Toc3814_WPSOffice_Level1"/>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三、</w:t>
      </w:r>
      <w:bookmarkEnd w:id="9"/>
      <w:r>
        <w:rPr>
          <w:rFonts w:hint="eastAsia" w:ascii="黑体" w:hAnsi="黑体" w:eastAsia="黑体" w:cs="仿宋_GB2312"/>
          <w:b/>
          <w:sz w:val="30"/>
          <w:szCs w:val="30"/>
        </w:rPr>
        <w:t>法定代表人身份证明书</w:t>
      </w:r>
    </w:p>
    <w:p>
      <w:pPr>
        <w:spacing w:line="560" w:lineRule="exact"/>
        <w:jc w:val="center"/>
        <w:rPr>
          <w:rFonts w:ascii="黑体" w:hAnsi="黑体" w:eastAsia="黑体" w:cs="仿宋_GB2312"/>
          <w:b/>
          <w:bCs/>
          <w:sz w:val="30"/>
          <w:szCs w:val="30"/>
        </w:rPr>
      </w:pPr>
      <w:r>
        <w:rPr>
          <w:rFonts w:hint="eastAsia" w:ascii="黑体" w:hAnsi="黑体" w:eastAsia="黑体" w:cs="仿宋_GB2312"/>
          <w:b/>
          <w:bCs/>
          <w:sz w:val="30"/>
          <w:szCs w:val="30"/>
        </w:rPr>
        <w:t>（法定代表人参加投标的，出具此证明书）</w:t>
      </w:r>
    </w:p>
    <w:p>
      <w:pPr>
        <w:spacing w:line="480" w:lineRule="exact"/>
        <w:rPr>
          <w:rFonts w:ascii="仿宋_GB2312" w:hAnsi="仿宋_GB2312" w:eastAsia="仿宋_GB2312" w:cs="仿宋_GB2312"/>
          <w:sz w:val="28"/>
          <w:szCs w:val="28"/>
        </w:rPr>
      </w:pPr>
    </w:p>
    <w:p>
      <w:pPr>
        <w:spacing w:line="480" w:lineRule="exact"/>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法定代表人姓名 </w:t>
      </w:r>
      <w:r>
        <w:rPr>
          <w:rFonts w:hint="eastAsia" w:ascii="仿宋_GB2312" w:hAnsi="仿宋_GB2312" w:eastAsia="仿宋_GB2312" w:cs="仿宋_GB2312"/>
          <w:sz w:val="28"/>
          <w:szCs w:val="28"/>
        </w:rPr>
        <w:t>在我公司（或企业、单位）任（董事长、经理）职务，是我</w:t>
      </w:r>
      <w:r>
        <w:rPr>
          <w:rFonts w:hint="eastAsia" w:ascii="仿宋_GB2312" w:hAnsi="仿宋_GB2312" w:eastAsia="仿宋_GB2312" w:cs="仿宋_GB2312"/>
          <w:sz w:val="28"/>
          <w:szCs w:val="28"/>
          <w:u w:val="single"/>
        </w:rPr>
        <w:t xml:space="preserve">     公司全称    </w:t>
      </w:r>
      <w:r>
        <w:rPr>
          <w:rFonts w:hint="eastAsia" w:ascii="仿宋_GB2312" w:hAnsi="仿宋_GB2312" w:eastAsia="仿宋_GB2312" w:cs="仿宋_GB2312"/>
          <w:sz w:val="28"/>
          <w:szCs w:val="28"/>
        </w:rPr>
        <w:t>的法定代表人。现就参加</w:t>
      </w:r>
      <w:r>
        <w:rPr>
          <w:rFonts w:hint="eastAsia" w:ascii="仿宋_GB2312" w:hAnsi="仿宋_GB2312" w:eastAsia="仿宋_GB2312" w:cs="仿宋_GB2312"/>
          <w:sz w:val="28"/>
          <w:szCs w:val="28"/>
          <w:u w:val="single"/>
        </w:rPr>
        <w:t xml:space="preserve">   采购单位名称   </w:t>
      </w:r>
      <w:r>
        <w:rPr>
          <w:rFonts w:hint="eastAsia" w:ascii="仿宋_GB2312" w:hAnsi="仿宋_GB2312" w:eastAsia="仿宋_GB2312" w:cs="仿宋_GB2312"/>
          <w:sz w:val="28"/>
          <w:szCs w:val="28"/>
        </w:rPr>
        <w:t>组织的采购项目</w:t>
      </w:r>
      <w:r>
        <w:rPr>
          <w:rFonts w:hint="eastAsia" w:ascii="仿宋_GB2312" w:hAnsi="仿宋_GB2312" w:eastAsia="仿宋_GB2312" w:cs="仿宋_GB2312"/>
          <w:sz w:val="28"/>
          <w:szCs w:val="28"/>
          <w:u w:val="single"/>
        </w:rPr>
        <w:t xml:space="preserve">         采购项目名称         </w:t>
      </w:r>
      <w:r>
        <w:rPr>
          <w:rFonts w:hint="eastAsia" w:ascii="仿宋_GB2312" w:hAnsi="仿宋_GB2312" w:eastAsia="仿宋_GB2312" w:cs="仿宋_GB2312"/>
          <w:sz w:val="28"/>
          <w:szCs w:val="28"/>
        </w:rPr>
        <w:t>的投标签署投标文件。</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spacing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tbl>
      <w:tblPr>
        <w:tblStyle w:val="22"/>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（※此处请粘贴法定代表人身份证</w:t>
            </w:r>
          </w:p>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复印件※）</w:t>
            </w:r>
          </w:p>
          <w:p>
            <w:pPr>
              <w:spacing w:line="480" w:lineRule="exact"/>
              <w:rPr>
                <w:rFonts w:ascii="仿宋_GB2312" w:hAnsi="仿宋_GB2312" w:eastAsia="仿宋_GB2312" w:cs="仿宋_GB2312"/>
                <w:sz w:val="28"/>
                <w:szCs w:val="28"/>
              </w:rPr>
            </w:pPr>
          </w:p>
          <w:p>
            <w:pPr>
              <w:spacing w:line="480" w:lineRule="exact"/>
              <w:rPr>
                <w:rFonts w:ascii="仿宋_GB2312" w:hAnsi="仿宋_GB2312" w:eastAsia="仿宋_GB2312" w:cs="仿宋_GB2312"/>
                <w:sz w:val="28"/>
                <w:szCs w:val="28"/>
              </w:rPr>
            </w:pPr>
          </w:p>
        </w:tc>
      </w:tr>
    </w:tbl>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line="480" w:lineRule="exact"/>
        <w:jc w:val="right"/>
        <w:rPr>
          <w:rFonts w:ascii="仿宋_GB2312" w:hAnsi="仿宋_GB2312" w:eastAsia="仿宋_GB2312" w:cs="仿宋_GB2312"/>
          <w:sz w:val="28"/>
          <w:szCs w:val="28"/>
        </w:rPr>
      </w:pPr>
    </w:p>
    <w:p>
      <w:pPr>
        <w:spacing w:line="480" w:lineRule="exact"/>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600" w:lineRule="auto"/>
        <w:ind w:firstLine="5600" w:firstLineChars="20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公司名称：</w:t>
      </w:r>
      <w:r>
        <w:rPr>
          <w:rFonts w:hint="eastAsia" w:ascii="仿宋_GB2312" w:hAnsi="仿宋_GB2312" w:eastAsia="仿宋_GB2312" w:cs="仿宋_GB2312"/>
          <w:sz w:val="28"/>
          <w:szCs w:val="28"/>
          <w:u w:val="single"/>
        </w:rPr>
        <w:t xml:space="preserve">（加盖公章） </w:t>
      </w:r>
    </w:p>
    <w:p>
      <w:pPr>
        <w:spacing w:line="600" w:lineRule="auto"/>
        <w:ind w:firstLine="5600" w:firstLineChars="2000"/>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pPr>
        <w:spacing w:line="560" w:lineRule="exact"/>
        <w:jc w:val="center"/>
        <w:rPr>
          <w:rFonts w:ascii="仿宋_GB2312" w:hAnsi="仿宋_GB2312" w:eastAsia="仿宋_GB2312" w:cs="仿宋_GB2312"/>
          <w:b/>
          <w:sz w:val="28"/>
          <w:szCs w:val="28"/>
        </w:rPr>
      </w:pPr>
    </w:p>
    <w:p>
      <w:pPr>
        <w:spacing w:line="560" w:lineRule="exact"/>
        <w:jc w:val="center"/>
        <w:rPr>
          <w:rFonts w:ascii="仿宋_GB2312" w:hAnsi="仿宋_GB2312" w:eastAsia="仿宋_GB2312" w:cs="仿宋_GB2312"/>
          <w:b/>
          <w:sz w:val="28"/>
          <w:szCs w:val="28"/>
        </w:rPr>
      </w:pPr>
    </w:p>
    <w:p>
      <w:pPr>
        <w:spacing w:line="560" w:lineRule="exact"/>
        <w:rPr>
          <w:rFonts w:ascii="黑体" w:hAnsi="黑体" w:eastAsia="黑体" w:cs="仿宋_GB2312"/>
          <w:b/>
          <w:sz w:val="30"/>
          <w:szCs w:val="30"/>
        </w:rPr>
      </w:pPr>
    </w:p>
    <w:p>
      <w:pPr>
        <w:spacing w:line="560" w:lineRule="exact"/>
        <w:jc w:val="center"/>
        <w:rPr>
          <w:rFonts w:hint="eastAsia" w:ascii="黑体" w:hAnsi="黑体" w:eastAsia="黑体" w:cs="仿宋_GB2312"/>
          <w:b/>
          <w:sz w:val="30"/>
          <w:szCs w:val="30"/>
        </w:rPr>
      </w:pPr>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lang w:val="en-US" w:eastAsia="zh-CN"/>
        </w:rPr>
        <w:t>四、</w:t>
      </w:r>
      <w:r>
        <w:rPr>
          <w:rFonts w:hint="eastAsia" w:ascii="黑体" w:hAnsi="黑体" w:eastAsia="黑体" w:cs="仿宋_GB2312"/>
          <w:b/>
          <w:sz w:val="30"/>
          <w:szCs w:val="30"/>
        </w:rPr>
        <w:t>法定代表人授权委托书</w:t>
      </w: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（授权代表人参加投标的，出具此授权委托书）</w:t>
      </w:r>
    </w:p>
    <w:p>
      <w:pPr>
        <w:spacing w:line="440" w:lineRule="exact"/>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rPr>
          <w:rFonts w:ascii="楷体_GB2312" w:eastAsia="楷体_GB2312"/>
        </w:rPr>
      </w:pPr>
      <w:r>
        <w:rPr>
          <w:rFonts w:hint="eastAsia" w:ascii="楷体_GB2312" w:eastAsia="楷体_GB2312"/>
        </w:rPr>
        <w:t>住所：</w:t>
      </w:r>
    </w:p>
    <w:p>
      <w:pPr>
        <w:spacing w:line="440" w:lineRule="exact"/>
        <w:rPr>
          <w:rFonts w:ascii="楷体_GB2312" w:eastAsia="楷体_GB2312"/>
        </w:rPr>
      </w:pPr>
      <w:r>
        <w:rPr>
          <w:rFonts w:hint="eastAsia" w:ascii="楷体_GB2312" w:eastAsia="楷体_GB2312"/>
        </w:rPr>
        <w:t>法定代表人（或负责人）：</w:t>
      </w:r>
    </w:p>
    <w:p>
      <w:pPr>
        <w:spacing w:line="440" w:lineRule="exact"/>
        <w:rPr>
          <w:rFonts w:ascii="楷体_GB2312" w:eastAsia="楷体_GB2312"/>
        </w:rPr>
      </w:pPr>
      <w:r>
        <w:rPr>
          <w:rFonts w:hint="eastAsia" w:ascii="楷体_GB2312" w:eastAsia="楷体_GB2312"/>
        </w:rPr>
        <w:t>代理人：</w:t>
      </w:r>
      <w:r>
        <w:rPr>
          <w:rFonts w:hint="eastAsia" w:ascii="楷体_GB2312" w:eastAsia="楷体_GB2312"/>
          <w:b/>
        </w:rPr>
        <w:t>XXX</w:t>
      </w:r>
      <w:r>
        <w:rPr>
          <w:rFonts w:hint="eastAsia" w:ascii="楷体_GB2312" w:eastAsia="楷体_GB2312"/>
        </w:rPr>
        <w:t>，男或女， 年 月 日出生，身份证号码：</w:t>
      </w:r>
      <w:r>
        <w:rPr>
          <w:rFonts w:hint="eastAsia" w:ascii="楷体_GB2312" w:eastAsia="楷体_GB2312"/>
          <w:b/>
        </w:rPr>
        <w:t>XXXXXXXXXXXXXX</w:t>
      </w:r>
      <w:r>
        <w:rPr>
          <w:rFonts w:hint="eastAsia" w:ascii="楷体_GB2312" w:eastAsia="楷体_GB2312"/>
        </w:rPr>
        <w:t>,系</w:t>
      </w:r>
      <w:r>
        <w:rPr>
          <w:rFonts w:hint="eastAsia" w:ascii="楷体_GB2312" w:eastAsia="楷体_GB2312"/>
          <w:b/>
        </w:rPr>
        <w:t>XXXXX</w:t>
      </w:r>
      <w:r>
        <w:rPr>
          <w:rFonts w:hint="eastAsia" w:ascii="楷体_GB2312" w:eastAsia="楷体_GB2312"/>
        </w:rPr>
        <w:t>单位职工，现住</w:t>
      </w:r>
      <w:r>
        <w:rPr>
          <w:rFonts w:hint="eastAsia" w:ascii="楷体_GB2312" w:eastAsia="楷体_GB2312"/>
          <w:b/>
        </w:rPr>
        <w:t>XXXXXXX</w:t>
      </w:r>
      <w:r>
        <w:rPr>
          <w:rFonts w:hint="eastAsia" w:ascii="楷体_GB2312" w:eastAsia="楷体_GB2312"/>
        </w:rPr>
        <w:t>.</w:t>
      </w:r>
    </w:p>
    <w:p>
      <w:pPr>
        <w:spacing w:line="440" w:lineRule="exact"/>
        <w:rPr>
          <w:rFonts w:ascii="楷体_GB2312" w:eastAsia="楷体_GB2312"/>
        </w:rPr>
      </w:pPr>
      <w:r>
        <w:rPr>
          <w:rFonts w:hint="eastAsia" w:ascii="楷体_GB2312" w:eastAsia="楷体_GB2312"/>
        </w:rPr>
        <w:t>授权事项：</w:t>
      </w:r>
    </w:p>
    <w:p>
      <w:pPr>
        <w:spacing w:line="440" w:lineRule="exact"/>
        <w:ind w:firstLine="411" w:firstLineChars="196"/>
        <w:rPr>
          <w:rFonts w:ascii="楷体_GB2312" w:eastAsia="楷体_GB2312"/>
        </w:rPr>
      </w:pPr>
      <w:r>
        <w:rPr>
          <w:rFonts w:hint="eastAsia" w:ascii="楷体_GB2312" w:eastAsia="楷体_GB2312"/>
        </w:rPr>
        <w:t>1、委托人委托代理人</w:t>
      </w:r>
      <w:r>
        <w:rPr>
          <w:rFonts w:hint="eastAsia" w:ascii="楷体_GB2312" w:eastAsia="楷体_GB2312"/>
          <w:b/>
        </w:rPr>
        <w:t>XXX</w:t>
      </w:r>
      <w:r>
        <w:rPr>
          <w:rFonts w:hint="eastAsia" w:ascii="楷体_GB2312" w:eastAsia="楷体_GB2312"/>
        </w:rPr>
        <w:t>代表委托人参加</w:t>
      </w:r>
      <w:r>
        <w:rPr>
          <w:rFonts w:hint="eastAsia" w:ascii="楷体_GB2312" w:eastAsia="楷体_GB2312"/>
          <w:b/>
        </w:rPr>
        <w:t>中粮糖业及所属各级单位</w:t>
      </w:r>
      <w:r>
        <w:rPr>
          <w:rFonts w:hint="eastAsia" w:ascii="楷体_GB2312" w:eastAsia="楷体_GB2312"/>
        </w:rPr>
        <w:t>的招标或议标活动，以委托人的名义全权办理招标或议标过程中的投标、报价、议标谈判等一切与招标或议标相关的事宜。</w:t>
      </w:r>
    </w:p>
    <w:p>
      <w:pPr>
        <w:spacing w:line="440" w:lineRule="exact"/>
        <w:ind w:firstLine="411" w:firstLineChars="196"/>
        <w:rPr>
          <w:rFonts w:ascii="楷体_GB2312" w:eastAsia="楷体_GB2312"/>
        </w:rPr>
      </w:pPr>
      <w:r>
        <w:rPr>
          <w:rFonts w:hint="eastAsia" w:ascii="楷体_GB2312" w:eastAsia="楷体_GB2312"/>
        </w:rPr>
        <w:t>2、如果委托人中标，代理人以委托人的名义与</w:t>
      </w:r>
      <w:r>
        <w:rPr>
          <w:rFonts w:hint="eastAsia" w:ascii="楷体_GB2312" w:eastAsia="楷体_GB2312"/>
          <w:b/>
        </w:rPr>
        <w:t>中粮糖业及所属各级单位</w:t>
      </w:r>
      <w:r>
        <w:rPr>
          <w:rFonts w:hint="eastAsia" w:ascii="楷体_GB2312" w:eastAsia="楷体_GB2312"/>
        </w:rPr>
        <w:t>签订合同，并办理合同履行过程中的一切相关事宜。</w:t>
      </w:r>
    </w:p>
    <w:p>
      <w:pPr>
        <w:spacing w:line="440" w:lineRule="exact"/>
        <w:ind w:firstLine="411" w:firstLineChars="196"/>
        <w:rPr>
          <w:rFonts w:ascii="楷体_GB2312" w:eastAsia="楷体_GB2312"/>
        </w:rPr>
      </w:pPr>
      <w:r>
        <w:rPr>
          <w:rFonts w:hint="eastAsia" w:ascii="楷体_GB2312" w:eastAsia="楷体_GB2312"/>
        </w:rPr>
        <w:t>本公司对代理人的上述代理行为均予以认可并承担责任。</w:t>
      </w:r>
    </w:p>
    <w:p>
      <w:pPr>
        <w:spacing w:line="440" w:lineRule="exact"/>
        <w:ind w:right="560"/>
        <w:rPr>
          <w:rFonts w:ascii="楷体_GB2312" w:eastAsia="楷体_GB2312"/>
        </w:rPr>
      </w:pPr>
      <w:r>
        <w:rPr>
          <w:rFonts w:hint="eastAsia" w:ascii="楷体_GB2312" w:eastAsia="楷体_GB2312"/>
        </w:rPr>
        <w:t>授权期限：本授权委托书自授权之日起生效，有效期</w:t>
      </w:r>
      <w:r>
        <w:rPr>
          <w:rFonts w:ascii="楷体_GB2312" w:eastAsia="楷体_GB2312"/>
          <w:u w:val="single"/>
        </w:rPr>
        <w:t xml:space="preserve">  </w:t>
      </w:r>
      <w:r>
        <w:rPr>
          <w:rFonts w:hint="eastAsia" w:ascii="楷体_GB2312" w:eastAsia="楷体_GB2312"/>
        </w:rPr>
        <w:t>年。</w:t>
      </w:r>
    </w:p>
    <w:p>
      <w:pPr>
        <w:spacing w:line="440" w:lineRule="exact"/>
        <w:ind w:right="560"/>
        <w:jc w:val="right"/>
        <w:rPr>
          <w:rFonts w:ascii="楷体_GB2312" w:eastAsia="楷体_GB2312"/>
        </w:rPr>
      </w:pPr>
    </w:p>
    <w:p>
      <w:pPr>
        <w:spacing w:line="440" w:lineRule="exact"/>
        <w:ind w:right="560"/>
        <w:jc w:val="center"/>
        <w:rPr>
          <w:rFonts w:ascii="楷体_GB2312" w:eastAsia="楷体_GB2312"/>
        </w:rPr>
      </w:pPr>
      <w:r>
        <w:rPr>
          <w:rFonts w:hint="eastAsia" w:ascii="楷体_GB2312" w:eastAsia="楷体_GB2312"/>
        </w:rPr>
        <w:t>代理人身份证（正、反面）粘贴处：</w:t>
      </w:r>
    </w:p>
    <w:p>
      <w:pPr>
        <w:spacing w:line="440" w:lineRule="exact"/>
        <w:ind w:right="560"/>
        <w:rPr>
          <w:rFonts w:ascii="楷体_GB2312" w:eastAsia="楷体_GB2312"/>
        </w:rPr>
      </w:pPr>
    </w:p>
    <w:p>
      <w:pPr>
        <w:spacing w:line="440" w:lineRule="exact"/>
        <w:ind w:right="560"/>
        <w:rPr>
          <w:rFonts w:ascii="楷体_GB2312" w:eastAsia="楷体_GB2312"/>
        </w:rPr>
      </w:pPr>
    </w:p>
    <w:p>
      <w:pPr>
        <w:spacing w:line="440" w:lineRule="exact"/>
        <w:ind w:right="560"/>
        <w:jc w:val="center"/>
        <w:rPr>
          <w:rFonts w:ascii="楷体_GB2312" w:eastAsia="楷体_GB2312"/>
        </w:rPr>
      </w:pPr>
    </w:p>
    <w:p>
      <w:pPr>
        <w:spacing w:line="440" w:lineRule="exact"/>
        <w:ind w:right="560"/>
        <w:jc w:val="center"/>
        <w:rPr>
          <w:rFonts w:ascii="楷体_GB2312" w:eastAsia="楷体_GB2312"/>
        </w:rPr>
      </w:pPr>
    </w:p>
    <w:p>
      <w:pPr>
        <w:spacing w:line="440" w:lineRule="exact"/>
        <w:ind w:left="105" w:leftChars="50" w:right="480" w:firstLine="3372" w:firstLineChars="1606"/>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ind w:left="105" w:leftChars="50" w:right="480" w:firstLine="3372" w:firstLineChars="1606"/>
        <w:rPr>
          <w:rFonts w:ascii="楷体_GB2312" w:eastAsia="楷体_GB2312"/>
        </w:rPr>
      </w:pPr>
      <w:r>
        <w:rPr>
          <w:rFonts w:hint="eastAsia" w:ascii="楷体_GB2312" w:eastAsia="楷体_GB2312"/>
        </w:rPr>
        <w:t>法定代表人（或负责人）：</w:t>
      </w:r>
    </w:p>
    <w:p>
      <w:pPr>
        <w:spacing w:line="440" w:lineRule="exact"/>
        <w:ind w:left="105" w:leftChars="50" w:right="26" w:firstLine="3372" w:firstLineChars="1606"/>
        <w:rPr>
          <w:rFonts w:ascii="楷体_GB2312" w:eastAsia="楷体_GB2312"/>
          <w:sz w:val="32"/>
          <w:szCs w:val="32"/>
        </w:rPr>
      </w:pPr>
      <w:r>
        <w:rPr>
          <w:rFonts w:hint="eastAsia" w:ascii="楷体_GB2312" w:eastAsia="楷体_GB2312"/>
        </w:rPr>
        <w:t>委托授权时间：   20</w:t>
      </w:r>
      <w:r>
        <w:rPr>
          <w:rFonts w:ascii="楷体_GB2312" w:eastAsia="楷体_GB2312"/>
        </w:rPr>
        <w:t>22</w:t>
      </w:r>
      <w:r>
        <w:rPr>
          <w:rFonts w:hint="eastAsia" w:ascii="楷体_GB2312" w:eastAsia="楷体_GB2312"/>
        </w:rPr>
        <w:t xml:space="preserve">  年 </w:t>
      </w:r>
      <w:r>
        <w:rPr>
          <w:rFonts w:ascii="楷体_GB2312" w:eastAsia="楷体_GB2312"/>
        </w:rPr>
        <w:t>1</w:t>
      </w:r>
      <w:r>
        <w:rPr>
          <w:rFonts w:hint="eastAsia" w:ascii="楷体_GB2312" w:eastAsia="楷体_GB2312"/>
        </w:rPr>
        <w:t xml:space="preserve"> 月1日</w:t>
      </w:r>
    </w:p>
    <w:p>
      <w:pPr>
        <w:jc w:val="center"/>
        <w:rPr>
          <w:rFonts w:ascii="仿宋_GB2312" w:hAnsi="仿宋_GB2312" w:eastAsia="仿宋_GB2312" w:cs="仿宋_GB2312"/>
          <w:b/>
          <w:sz w:val="28"/>
          <w:szCs w:val="28"/>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r>
        <w:rPr>
          <w:rFonts w:hint="eastAsia" w:ascii="黑体" w:hAnsi="黑体" w:eastAsia="黑体" w:cs="仿宋_GB2312"/>
          <w:b/>
          <w:sz w:val="30"/>
          <w:szCs w:val="30"/>
        </w:rPr>
        <w:t>五、参加采购活动前3年内在经营活动</w:t>
      </w:r>
    </w:p>
    <w:p>
      <w:pPr>
        <w:jc w:val="center"/>
        <w:rPr>
          <w:rFonts w:ascii="黑体" w:hAnsi="黑体" w:eastAsia="黑体" w:cs="仿宋_GB2312"/>
          <w:b/>
          <w:sz w:val="30"/>
          <w:szCs w:val="30"/>
        </w:rPr>
      </w:pPr>
      <w:r>
        <w:rPr>
          <w:rFonts w:hint="eastAsia" w:ascii="黑体" w:hAnsi="黑体" w:eastAsia="黑体" w:cs="仿宋_GB2312"/>
          <w:b/>
          <w:sz w:val="30"/>
          <w:szCs w:val="30"/>
        </w:rPr>
        <w:t>中没有重大违法记录及具有良好信用信息的声明</w:t>
      </w:r>
    </w:p>
    <w:p>
      <w:pPr>
        <w:spacing w:before="120" w:beforeLines="50" w:after="120" w:afterLines="50" w:line="400" w:lineRule="exact"/>
        <w:ind w:right="630" w:rightChars="300"/>
        <w:rPr>
          <w:rFonts w:cs="Lucida Sans Unicode"/>
        </w:rPr>
      </w:pPr>
    </w:p>
    <w:p>
      <w:pPr>
        <w:spacing w:line="520" w:lineRule="exact"/>
        <w:ind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before="120" w:beforeLines="50" w:after="120" w:afterLines="50" w:line="520" w:lineRule="exact"/>
        <w:ind w:right="136" w:rightChars="65"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项目投标文件截止时间前，我单位参加本次采购活动前3年内在经营活动中没有重大违法记录；通过“信用中国”(网站：www.creditchina.gov.cn/)等渠道查询，我单位未被列入失信被执行人、重大税收违法案件当事人名单。</w:t>
      </w:r>
    </w:p>
    <w:p>
      <w:pPr>
        <w:spacing w:before="120" w:beforeLines="50" w:after="120" w:afterLines="50" w:line="520" w:lineRule="exact"/>
        <w:ind w:right="1050" w:rightChars="50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特此声明。</w:t>
      </w: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line="360" w:lineRule="exact"/>
        <w:ind w:left="1050" w:leftChars="500" w:right="1050" w:rightChars="500" w:firstLine="560" w:firstLineChars="200"/>
        <w:rPr>
          <w:rFonts w:ascii="仿宋_GB2312" w:hAnsi="仿宋_GB2312" w:eastAsia="仿宋_GB2312" w:cs="仿宋_GB2312"/>
          <w:sz w:val="28"/>
          <w:szCs w:val="28"/>
        </w:rPr>
      </w:pPr>
    </w:p>
    <w:p>
      <w:pPr>
        <w:spacing w:line="600" w:lineRule="auto"/>
        <w:ind w:right="480" w:firstLine="3360" w:firstLineChars="1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投标人名称：</w:t>
      </w:r>
      <w:r>
        <w:rPr>
          <w:rFonts w:hint="eastAsia" w:ascii="仿宋_GB2312" w:hAnsi="仿宋_GB2312" w:eastAsia="仿宋_GB2312" w:cs="仿宋_GB2312"/>
          <w:sz w:val="28"/>
          <w:szCs w:val="28"/>
          <w:u w:val="single"/>
        </w:rPr>
        <w:t xml:space="preserve">（加盖公章）           </w:t>
      </w:r>
    </w:p>
    <w:p>
      <w:pPr>
        <w:spacing w:line="600" w:lineRule="auto"/>
        <w:ind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600" w:lineRule="auto"/>
        <w:ind w:right="12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jc w:val="center"/>
        <w:rPr>
          <w:rFonts w:ascii="黑体" w:hAnsi="黑体" w:eastAsia="黑体"/>
          <w:b/>
          <w:bCs/>
          <w:sz w:val="30"/>
          <w:szCs w:val="30"/>
        </w:rPr>
      </w:pPr>
      <w:r>
        <w:rPr>
          <w:rFonts w:hint="eastAsia" w:ascii="仿宋_GB2312" w:hAnsi="仿宋_GB2312" w:eastAsia="仿宋_GB2312" w:cs="仿宋_GB2312"/>
          <w:sz w:val="28"/>
          <w:szCs w:val="28"/>
        </w:rPr>
        <w:br w:type="page"/>
      </w:r>
      <w:bookmarkStart w:id="10" w:name="_Toc17297_WPSOffice_Level1"/>
      <w:r>
        <w:rPr>
          <w:rFonts w:hint="eastAsia" w:ascii="黑体" w:hAnsi="黑体" w:eastAsia="黑体" w:cs="仿宋_GB2312"/>
          <w:b/>
          <w:bCs/>
          <w:sz w:val="30"/>
          <w:szCs w:val="30"/>
        </w:rPr>
        <w:t>六、</w:t>
      </w:r>
      <w:r>
        <w:rPr>
          <w:rFonts w:hint="eastAsia" w:ascii="黑体" w:hAnsi="黑体" w:eastAsia="黑体"/>
          <w:b/>
          <w:bCs/>
          <w:sz w:val="30"/>
          <w:szCs w:val="30"/>
        </w:rPr>
        <w:t>谈判响应保证金</w:t>
      </w:r>
    </w:p>
    <w:p>
      <w:pPr>
        <w:pStyle w:val="10"/>
        <w:spacing w:line="500" w:lineRule="exact"/>
        <w:ind w:firstLine="480" w:firstLineChars="200"/>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trPr>
        <w:tc>
          <w:tcPr>
            <w:tcW w:w="8689" w:type="dxa"/>
          </w:tcPr>
          <w:p>
            <w:pPr>
              <w:pStyle w:val="10"/>
              <w:spacing w:line="300" w:lineRule="auto"/>
              <w:rPr>
                <w:rFonts w:hAnsi="宋体" w:cs="宋体"/>
                <w:b/>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c>
      </w:tr>
    </w:tbl>
    <w:p>
      <w:pPr>
        <w:jc w:val="center"/>
        <w:rPr>
          <w:b/>
          <w:bCs/>
          <w:sz w:val="30"/>
          <w:szCs w:val="30"/>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rPr>
          <w:rFonts w:ascii="黑体" w:hAnsi="黑体" w:eastAsia="黑体" w:cs="仿宋_GB2312"/>
          <w:b/>
          <w:bCs/>
          <w:sz w:val="28"/>
          <w:szCs w:val="28"/>
        </w:rPr>
      </w:pPr>
    </w:p>
    <w:p>
      <w:pPr>
        <w:spacing w:line="560" w:lineRule="exact"/>
        <w:ind w:firstLine="562" w:firstLineChars="200"/>
        <w:jc w:val="center"/>
        <w:rPr>
          <w:rFonts w:ascii="黑体" w:hAnsi="黑体" w:eastAsia="黑体" w:cs="Lucida Sans Unicode"/>
          <w:b/>
          <w:bCs/>
          <w:sz w:val="44"/>
          <w:szCs w:val="44"/>
        </w:rPr>
      </w:pPr>
      <w:r>
        <w:rPr>
          <w:rFonts w:hint="eastAsia" w:ascii="黑体" w:hAnsi="黑体" w:eastAsia="黑体" w:cs="仿宋_GB2312"/>
          <w:b/>
          <w:bCs/>
          <w:sz w:val="28"/>
          <w:lang w:val="en-US" w:eastAsia="zh-CN"/>
        </w:rPr>
        <w:t>七</w:t>
      </w:r>
      <w:r>
        <w:rPr>
          <w:rFonts w:hint="eastAsia" w:ascii="黑体" w:hAnsi="黑体" w:eastAsia="黑体" w:cs="仿宋_GB2312"/>
          <w:b/>
          <w:bCs/>
          <w:sz w:val="28"/>
        </w:rPr>
        <w:t>、投标函</w:t>
      </w:r>
      <w:bookmarkEnd w:id="10"/>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采购单位： </w:t>
      </w:r>
    </w:p>
    <w:p>
      <w:pPr>
        <w:pStyle w:val="18"/>
        <w:widowControl w:val="0"/>
        <w:tabs>
          <w:tab w:val="left" w:pos="0"/>
        </w:tabs>
        <w:adjustRightInd w:val="0"/>
        <w:spacing w:line="360" w:lineRule="auto"/>
        <w:ind w:right="-13" w:rightChars="-6"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供应商名称 </w:t>
      </w:r>
      <w:r>
        <w:rPr>
          <w:rFonts w:hint="eastAsia" w:ascii="仿宋_GB2312" w:hAnsi="仿宋_GB2312" w:eastAsia="仿宋_GB2312" w:cs="仿宋_GB2312"/>
          <w:sz w:val="28"/>
          <w:szCs w:val="28"/>
        </w:rPr>
        <w:t>授权</w:t>
      </w:r>
      <w:r>
        <w:rPr>
          <w:rFonts w:hint="eastAsia" w:ascii="仿宋_GB2312" w:hAnsi="仿宋_GB2312" w:eastAsia="仿宋_GB2312" w:cs="仿宋_GB2312"/>
          <w:sz w:val="28"/>
          <w:szCs w:val="28"/>
          <w:u w:val="single"/>
        </w:rPr>
        <w:t xml:space="preserve"> 供应商代表姓名、职务 </w:t>
      </w:r>
      <w:r>
        <w:rPr>
          <w:rFonts w:hint="eastAsia" w:ascii="仿宋_GB2312" w:hAnsi="仿宋_GB2312" w:eastAsia="仿宋_GB2312" w:cs="仿宋_GB2312"/>
          <w:sz w:val="28"/>
          <w:szCs w:val="28"/>
        </w:rPr>
        <w:t>为我方代表，参加你单位组织的</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采购项目的有关活动，并对此采购项目进行投标。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为此，我方按采购文件规定提供服务的投标报价、投标保证金：（报价单列表可根据实际情况填写）</w:t>
      </w:r>
    </w:p>
    <w:tbl>
      <w:tblPr>
        <w:tblStyle w:val="22"/>
        <w:tblW w:w="10176" w:type="dxa"/>
        <w:tblInd w:w="-977" w:type="dxa"/>
        <w:tblLayout w:type="fixed"/>
        <w:tblCellMar>
          <w:top w:w="0" w:type="dxa"/>
          <w:left w:w="108" w:type="dxa"/>
          <w:bottom w:w="0" w:type="dxa"/>
          <w:right w:w="108" w:type="dxa"/>
        </w:tblCellMar>
      </w:tblPr>
      <w:tblGrid>
        <w:gridCol w:w="820"/>
        <w:gridCol w:w="2977"/>
        <w:gridCol w:w="1276"/>
        <w:gridCol w:w="1418"/>
        <w:gridCol w:w="1417"/>
        <w:gridCol w:w="1276"/>
        <w:gridCol w:w="992"/>
      </w:tblGrid>
      <w:tr>
        <w:tblPrEx>
          <w:tblCellMar>
            <w:top w:w="0" w:type="dxa"/>
            <w:left w:w="108" w:type="dxa"/>
            <w:bottom w:w="0" w:type="dxa"/>
            <w:right w:w="108" w:type="dxa"/>
          </w:tblCellMar>
        </w:tblPrEx>
        <w:trPr>
          <w:trHeight w:val="880" w:hRule="atLeast"/>
        </w:trPr>
        <w:tc>
          <w:tcPr>
            <w:tcW w:w="820" w:type="dxa"/>
            <w:tcBorders>
              <w:top w:val="double" w:color="000000" w:sz="4" w:space="0"/>
              <w:left w:val="double" w:color="000000" w:sz="4" w:space="0"/>
              <w:right w:val="single" w:color="000000" w:sz="4" w:space="0"/>
            </w:tcBorders>
          </w:tcPr>
          <w:p>
            <w:pPr>
              <w:pStyle w:val="58"/>
              <w:spacing w:line="440" w:lineRule="exact"/>
              <w:jc w:val="center"/>
              <w:rPr>
                <w:rFonts w:ascii="仿宋_GB2312" w:hAnsi="仿宋_GB2312" w:eastAsia="仿宋_GB2312" w:cs="仿宋_GB2312"/>
                <w:b/>
                <w:sz w:val="28"/>
                <w:szCs w:val="28"/>
              </w:rPr>
            </w:pPr>
          </w:p>
        </w:tc>
        <w:tc>
          <w:tcPr>
            <w:tcW w:w="2977" w:type="dxa"/>
            <w:vMerge w:val="restart"/>
            <w:tcBorders>
              <w:top w:val="double" w:color="000000" w:sz="4" w:space="0"/>
              <w:left w:val="double" w:color="000000" w:sz="4"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项目特征</w:t>
            </w:r>
          </w:p>
        </w:tc>
        <w:tc>
          <w:tcPr>
            <w:tcW w:w="1276" w:type="dxa"/>
            <w:tcBorders>
              <w:top w:val="double" w:color="000000" w:sz="4" w:space="0"/>
              <w:left w:val="single" w:color="000000" w:sz="4" w:space="0"/>
              <w:right w:val="single" w:color="000000" w:sz="4" w:space="0"/>
            </w:tcBorders>
          </w:tcPr>
          <w:p>
            <w:pPr>
              <w:pStyle w:val="58"/>
              <w:spacing w:line="440" w:lineRule="exact"/>
              <w:jc w:val="center"/>
              <w:rPr>
                <w:rFonts w:ascii="仿宋_GB2312" w:hAnsi="仿宋_GB2312" w:eastAsia="仿宋_GB2312" w:cs="仿宋_GB2312"/>
                <w:b/>
                <w:kern w:val="0"/>
                <w:sz w:val="28"/>
                <w:szCs w:val="28"/>
              </w:rPr>
            </w:pPr>
          </w:p>
        </w:tc>
        <w:tc>
          <w:tcPr>
            <w:tcW w:w="2835" w:type="dxa"/>
            <w:gridSpan w:val="2"/>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kern w:val="0"/>
                <w:sz w:val="28"/>
                <w:szCs w:val="28"/>
              </w:rPr>
              <w:t>投标报价（元）</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期</w:t>
            </w:r>
            <w:r>
              <w:rPr>
                <w:rFonts w:hint="eastAsia" w:ascii="仿宋_GB2312" w:hAnsi="仿宋_GB2312" w:eastAsia="仿宋_GB2312" w:cs="仿宋_GB2312"/>
                <w:b/>
                <w:sz w:val="28"/>
                <w:szCs w:val="28"/>
              </w:rPr>
              <w:t>限</w:t>
            </w: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备注</w:t>
            </w:r>
          </w:p>
        </w:tc>
      </w:tr>
      <w:tr>
        <w:tblPrEx>
          <w:tblCellMar>
            <w:top w:w="0" w:type="dxa"/>
            <w:left w:w="108" w:type="dxa"/>
            <w:bottom w:w="0" w:type="dxa"/>
            <w:right w:w="108" w:type="dxa"/>
          </w:tblCellMar>
        </w:tblPrEx>
        <w:trPr>
          <w:trHeight w:val="880" w:hRule="atLeast"/>
        </w:trPr>
        <w:tc>
          <w:tcPr>
            <w:tcW w:w="820" w:type="dxa"/>
            <w:tcBorders>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b/>
                <w:sz w:val="22"/>
                <w:szCs w:val="22"/>
              </w:rPr>
            </w:pPr>
            <w:r>
              <w:rPr>
                <w:rFonts w:hint="eastAsia" w:cs="仿宋_GB2312" w:asciiTheme="minorEastAsia" w:hAnsiTheme="minorEastAsia"/>
                <w:b/>
                <w:sz w:val="22"/>
                <w:szCs w:val="22"/>
              </w:rPr>
              <w:t>项目名称</w:t>
            </w:r>
          </w:p>
        </w:tc>
        <w:tc>
          <w:tcPr>
            <w:tcW w:w="2977" w:type="dxa"/>
            <w:vMerge w:val="continue"/>
            <w:tcBorders>
              <w:left w:val="double" w:color="000000" w:sz="4"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1276" w:type="dxa"/>
            <w:tcBorders>
              <w:left w:val="single" w:color="000000" w:sz="4" w:space="0"/>
              <w:bottom w:val="single" w:color="000000" w:sz="6" w:space="0"/>
              <w:right w:val="single" w:color="000000" w:sz="4" w:space="0"/>
            </w:tcBorders>
          </w:tcPr>
          <w:p>
            <w:pPr>
              <w:pStyle w:val="58"/>
              <w:spacing w:line="440" w:lineRule="exact"/>
              <w:jc w:val="center"/>
              <w:rPr>
                <w:rFonts w:cs="仿宋_GB2312" w:asciiTheme="majorEastAsia" w:hAnsiTheme="majorEastAsia" w:eastAsiaTheme="majorEastAsia"/>
              </w:rPr>
            </w:pPr>
            <w:r>
              <w:rPr>
                <w:rFonts w:hint="eastAsia" w:cs="仿宋_GB2312" w:asciiTheme="majorEastAsia" w:hAnsiTheme="majorEastAsia" w:eastAsiaTheme="majorEastAsia"/>
              </w:rPr>
              <w:t>税率</w:t>
            </w:r>
          </w:p>
        </w:tc>
        <w:tc>
          <w:tcPr>
            <w:tcW w:w="1418" w:type="dxa"/>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kern w:val="0"/>
                <w:sz w:val="22"/>
                <w:szCs w:val="22"/>
              </w:rPr>
            </w:pPr>
            <w:r>
              <w:rPr>
                <w:rFonts w:hint="eastAsia" w:cs="仿宋_GB2312" w:asciiTheme="majorEastAsia" w:hAnsiTheme="majorEastAsia" w:eastAsiaTheme="majorEastAsia"/>
              </w:rPr>
              <w:t>小写（含税）</w:t>
            </w:r>
          </w:p>
        </w:tc>
        <w:tc>
          <w:tcPr>
            <w:tcW w:w="1417" w:type="dxa"/>
            <w:tcBorders>
              <w:top w:val="double" w:color="000000" w:sz="4" w:space="0"/>
              <w:left w:val="single" w:color="000000" w:sz="6"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sz w:val="22"/>
                <w:szCs w:val="22"/>
              </w:rPr>
            </w:pPr>
            <w:r>
              <w:rPr>
                <w:rFonts w:hint="eastAsia" w:cs="仿宋_GB2312" w:asciiTheme="majorEastAsia" w:hAnsiTheme="majorEastAsia" w:eastAsiaTheme="majorEastAsia"/>
              </w:rPr>
              <w:t>大写（含税）</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cs="仿宋_GB2312" w:asciiTheme="minorEastAsia" w:hAnsiTheme="minorEastAsia"/>
                <w:b/>
                <w:sz w:val="22"/>
                <w:szCs w:val="22"/>
              </w:rPr>
            </w:pPr>
          </w:p>
        </w:tc>
      </w:tr>
      <w:tr>
        <w:tblPrEx>
          <w:tblCellMar>
            <w:top w:w="0" w:type="dxa"/>
            <w:left w:w="108" w:type="dxa"/>
            <w:bottom w:w="0" w:type="dxa"/>
            <w:right w:w="108" w:type="dxa"/>
          </w:tblCellMar>
        </w:tblPrEx>
        <w:trPr>
          <w:trHeight w:val="880" w:hRule="atLeast"/>
        </w:trPr>
        <w:tc>
          <w:tcPr>
            <w:tcW w:w="820" w:type="dxa"/>
            <w:tcBorders>
              <w:top w:val="single" w:color="000000" w:sz="6" w:space="0"/>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sz w:val="22"/>
                <w:szCs w:val="22"/>
              </w:rPr>
            </w:pPr>
          </w:p>
        </w:tc>
        <w:tc>
          <w:tcPr>
            <w:tcW w:w="2977" w:type="dxa"/>
            <w:tcBorders>
              <w:top w:val="single" w:color="000000" w:sz="6" w:space="0"/>
              <w:left w:val="double" w:color="000000" w:sz="4" w:space="0"/>
              <w:bottom w:val="single" w:color="000000" w:sz="6" w:space="0"/>
              <w:right w:val="single" w:color="000000" w:sz="4" w:space="0"/>
            </w:tcBorders>
            <w:vAlign w:val="center"/>
          </w:tcPr>
          <w:p>
            <w:pPr>
              <w:pStyle w:val="58"/>
              <w:spacing w:line="440" w:lineRule="exact"/>
              <w:jc w:val="center"/>
              <w:rPr>
                <w:rFonts w:asciiTheme="minorEastAsia" w:hAnsiTheme="minorEastAsia"/>
                <w:sz w:val="22"/>
                <w:szCs w:val="22"/>
              </w:rPr>
            </w:pPr>
          </w:p>
        </w:tc>
        <w:tc>
          <w:tcPr>
            <w:tcW w:w="1276" w:type="dxa"/>
            <w:tcBorders>
              <w:top w:val="single" w:color="000000" w:sz="6" w:space="0"/>
              <w:left w:val="single" w:color="000000" w:sz="4" w:space="0"/>
              <w:bottom w:val="single" w:color="000000" w:sz="6" w:space="0"/>
              <w:right w:val="single" w:color="000000" w:sz="4" w:space="0"/>
            </w:tcBorders>
          </w:tcPr>
          <w:p>
            <w:pPr>
              <w:pStyle w:val="58"/>
              <w:snapToGrid w:val="0"/>
              <w:jc w:val="center"/>
              <w:rPr>
                <w:rFonts w:cs="仿宋_GB2312" w:asciiTheme="minorEastAsia" w:hAnsiTheme="minorEastAsia"/>
                <w:kern w:val="0"/>
                <w:sz w:val="22"/>
                <w:szCs w:val="22"/>
              </w:rPr>
            </w:pPr>
          </w:p>
        </w:tc>
        <w:tc>
          <w:tcPr>
            <w:tcW w:w="1418" w:type="dxa"/>
            <w:tcBorders>
              <w:top w:val="single" w:color="000000" w:sz="6" w:space="0"/>
              <w:left w:val="single" w:color="000000" w:sz="4" w:space="0"/>
              <w:bottom w:val="single" w:color="000000" w:sz="6" w:space="0"/>
              <w:right w:val="single" w:color="000000" w:sz="6" w:space="0"/>
            </w:tcBorders>
            <w:vAlign w:val="center"/>
          </w:tcPr>
          <w:p>
            <w:pPr>
              <w:pStyle w:val="58"/>
              <w:snapToGrid w:val="0"/>
              <w:jc w:val="center"/>
              <w:rPr>
                <w:rFonts w:cs="仿宋_GB2312" w:asciiTheme="minorEastAsia" w:hAnsiTheme="minorEastAsia"/>
                <w:kern w:val="0"/>
                <w:sz w:val="22"/>
                <w:szCs w:val="22"/>
              </w:rPr>
            </w:pPr>
          </w:p>
        </w:tc>
        <w:tc>
          <w:tcPr>
            <w:tcW w:w="1417" w:type="dxa"/>
            <w:tcBorders>
              <w:top w:val="single" w:color="000000" w:sz="6" w:space="0"/>
              <w:left w:val="single" w:color="000000" w:sz="6" w:space="0"/>
              <w:bottom w:val="single" w:color="000000" w:sz="6" w:space="0"/>
              <w:right w:val="single" w:color="000000" w:sz="6" w:space="0"/>
            </w:tcBorders>
          </w:tcPr>
          <w:p>
            <w:pPr>
              <w:pStyle w:val="58"/>
              <w:spacing w:line="440" w:lineRule="exact"/>
              <w:jc w:val="center"/>
              <w:rPr>
                <w:rFonts w:cs="仿宋_GB2312" w:asciiTheme="minorEastAsia" w:hAnsiTheme="minorEastAsia"/>
                <w:sz w:val="22"/>
                <w:szCs w:val="22"/>
              </w:rPr>
            </w:pPr>
          </w:p>
        </w:tc>
        <w:tc>
          <w:tcPr>
            <w:tcW w:w="1276" w:type="dxa"/>
            <w:tcBorders>
              <w:top w:val="single" w:color="000000" w:sz="6"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sz w:val="22"/>
                <w:szCs w:val="22"/>
              </w:rPr>
            </w:pPr>
          </w:p>
        </w:tc>
        <w:tc>
          <w:tcPr>
            <w:tcW w:w="992" w:type="dxa"/>
            <w:tcBorders>
              <w:top w:val="single" w:color="000000" w:sz="6" w:space="0"/>
              <w:left w:val="single" w:color="000000" w:sz="4" w:space="0"/>
              <w:bottom w:val="single" w:color="000000" w:sz="6" w:space="0"/>
              <w:right w:val="double" w:color="000000" w:sz="4" w:space="0"/>
            </w:tcBorders>
            <w:vAlign w:val="center"/>
          </w:tcPr>
          <w:p>
            <w:pPr>
              <w:pStyle w:val="58"/>
              <w:snapToGrid w:val="0"/>
              <w:spacing w:line="440" w:lineRule="exact"/>
              <w:jc w:val="center"/>
              <w:rPr>
                <w:rFonts w:cs="仿宋_GB2312" w:asciiTheme="minorEastAsia" w:hAnsiTheme="minorEastAsia"/>
                <w:sz w:val="22"/>
                <w:szCs w:val="22"/>
              </w:rPr>
            </w:pPr>
          </w:p>
        </w:tc>
      </w:tr>
    </w:tbl>
    <w:p>
      <w:pPr>
        <w:pStyle w:val="58"/>
        <w:spacing w:line="360" w:lineRule="exact"/>
        <w:rPr>
          <w:rFonts w:ascii="仿宋_GB2312" w:hAnsi="仿宋_GB2312" w:eastAsia="仿宋_GB2312" w:cs="仿宋_GB2312"/>
          <w:b/>
          <w:sz w:val="28"/>
          <w:szCs w:val="28"/>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一、我方同意在采购文件中规定的开标日起90天内遵守本投标文件中的承诺且在此期限期满之前均具有约束力。</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二、我方保证遵守采购文件的规定，如果本公司违反采购文件要求，我方的投标保证金可以被你单位没收。如果开标后在规定的投标有效期内撤回投标，我方的投标保证金可以被你单位没收。</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三、我方承诺已经具备采购文件中规定的供应商应当具备的条件。我方愿意向你单位提供任何与本采购项目投标有关的数据、情况和技术资料，并根据需要提供一切承诺的证明材料，并保证其真实、合法、有效。</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四、我方保证尊重评标委员会的评标结果，完全理解本采购项目不一定接受最低报价的投标。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五、我方承诺接受采购文件中采购合同条款的全部条款且无任何异议。如果我方成交，我们将按采购文件的规定，保证忠实地履行双方所签订的采购合同，并承担采购合同规定的责任和义务。</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我方若有下列情形之一的，接受你单位及相关监督管理部门对我方施以采购金额5‰以上10‰以下的违约处罚，列入不良行为记录名单，在1至3年内禁止参加采购单位组织的采购活动；有违法所得的，提请政府有关行政部门没收违法所得；情节严重的，提请工商行政管理机关吊销营业执照；构成犯罪的，提请司法部门依法追究刑事责任：</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（1）提供虚假材料谋取成交的；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（2）采取不正当手段诋毁、排挤其它投标人的；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（3）与采购单位、其它投标人恶意串通的；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（4）向采购单位行贿或者提供其它不正当利益的；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pPr>
        <w:spacing w:line="400" w:lineRule="exact"/>
        <w:rPr>
          <w:rFonts w:ascii="仿宋_GB2312" w:hAnsi="仿宋_GB2312" w:eastAsia="仿宋_GB2312" w:cs="仿宋_GB2312"/>
          <w:sz w:val="28"/>
          <w:szCs w:val="28"/>
        </w:rPr>
      </w:pPr>
    </w:p>
    <w:p>
      <w:pPr>
        <w:spacing w:line="600" w:lineRule="auto"/>
        <w:ind w:right="480" w:firstLine="560" w:firstLineChars="200"/>
        <w:jc w:val="center"/>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投标人名称：</w:t>
      </w:r>
      <w:r>
        <w:rPr>
          <w:rFonts w:hint="eastAsia" w:ascii="仿宋_GB2312" w:hAnsi="仿宋_GB2312" w:eastAsia="仿宋_GB2312" w:cs="仿宋_GB2312"/>
          <w:sz w:val="28"/>
          <w:szCs w:val="28"/>
          <w:u w:val="single"/>
        </w:rPr>
        <w:t xml:space="preserve">（加盖公章）           </w:t>
      </w:r>
    </w:p>
    <w:p>
      <w:pPr>
        <w:spacing w:line="600" w:lineRule="auto"/>
        <w:ind w:right="36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jc w:val="center"/>
        <w:rPr>
          <w:rFonts w:ascii="Arial Unicode MS" w:hAnsi="仿宋_GB2312" w:eastAsia="Arial Unicode MS" w:cs="仿宋_GB2312"/>
          <w:b/>
          <w:bCs/>
          <w:sz w:val="28"/>
          <w:szCs w:val="28"/>
          <w:u w:val="single"/>
        </w:rPr>
      </w:pPr>
      <w:r>
        <w:rPr>
          <w:rFonts w:hint="eastAsia" w:ascii="Arial Unicode MS" w:hAnsi="仿宋_GB2312" w:eastAsia="Arial Unicode MS" w:cs="仿宋_GB2312"/>
          <w:b/>
          <w:bCs/>
          <w:sz w:val="28"/>
          <w:szCs w:val="28"/>
          <w:u w:val="single"/>
          <w:lang w:val="en-US" w:eastAsia="zh-CN"/>
        </w:rPr>
        <w:t>八</w:t>
      </w:r>
      <w:r>
        <w:rPr>
          <w:rFonts w:hint="eastAsia" w:ascii="Arial Unicode MS" w:hAnsi="仿宋_GB2312" w:eastAsia="Arial Unicode MS" w:cs="仿宋_GB2312"/>
          <w:b/>
          <w:bCs/>
          <w:sz w:val="28"/>
          <w:szCs w:val="28"/>
          <w:u w:val="single"/>
        </w:rPr>
        <w:t>、响应方案（请参照谈判文件中评审方法）</w:t>
      </w:r>
      <w:bookmarkEnd w:id="2"/>
      <w:bookmarkEnd w:id="3"/>
    </w:p>
    <w:sectPr>
      <w:footerReference r:id="rId5" w:type="first"/>
      <w:footerReference r:id="rId4" w:type="default"/>
      <w:pgSz w:w="11906" w:h="16839"/>
      <w:pgMar w:top="1431" w:right="1785" w:bottom="1151"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859560-F859-4E90-9DA3-814A9DEAED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1560D7A-4411-463B-B5A5-D5A6E34E4188}"/>
  </w:font>
  <w:font w:name="Cambria">
    <w:panose1 w:val="02040503050406030204"/>
    <w:charset w:val="00"/>
    <w:family w:val="roman"/>
    <w:pitch w:val="default"/>
    <w:sig w:usb0="E00006FF" w:usb1="420024FF" w:usb2="02000000" w:usb3="00000000" w:csb0="2000019F" w:csb1="00000000"/>
  </w:font>
  <w:font w:name="全真簡中楷">
    <w:altName w:val="楷体_GB2312"/>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楷体_GB2312">
    <w:panose1 w:val="02010609030101010101"/>
    <w:charset w:val="86"/>
    <w:family w:val="modern"/>
    <w:pitch w:val="default"/>
    <w:sig w:usb0="00000001" w:usb1="080E0000" w:usb2="00000000" w:usb3="00000000" w:csb0="00040000" w:csb1="00000000"/>
    <w:embedRegular r:id="rId3" w:fontKey="{D1288FCF-B255-47B6-B725-E9CBBE39D53D}"/>
  </w:font>
  <w:font w:name="Arial Unicode MS">
    <w:panose1 w:val="020B0604020202020204"/>
    <w:charset w:val="86"/>
    <w:family w:val="auto"/>
    <w:pitch w:val="default"/>
    <w:sig w:usb0="FFFFFFFF" w:usb1="E9FFFFFF" w:usb2="0000003F" w:usb3="00000000" w:csb0="603F01FF" w:csb1="FFFF0000"/>
    <w:embedRegular r:id="rId4" w:fontKey="{13576891-1B72-4A2F-BDEC-CB93D34AD9C4}"/>
  </w:font>
  <w:font w:name="仿宋_GB2312">
    <w:panose1 w:val="02010609030101010101"/>
    <w:charset w:val="86"/>
    <w:family w:val="modern"/>
    <w:pitch w:val="default"/>
    <w:sig w:usb0="00000001" w:usb1="080E0000" w:usb2="00000000" w:usb3="00000000" w:csb0="00040000" w:csb1="00000000"/>
    <w:embedRegular r:id="rId5" w:fontKey="{63AB5F4C-1D3E-4423-AA62-F0F01951783D}"/>
  </w:font>
  <w:font w:name="新宋体">
    <w:panose1 w:val="02010609030101010101"/>
    <w:charset w:val="86"/>
    <w:family w:val="modern"/>
    <w:pitch w:val="default"/>
    <w:sig w:usb0="00000283" w:usb1="288F0000" w:usb2="00000006" w:usb3="00000000" w:csb0="00040001" w:csb1="00000000"/>
    <w:embedRegular r:id="rId6" w:fontKey="{94ACFDDA-CBFF-4BA9-9EFF-E8AF45E19EA5}"/>
  </w:font>
  <w:font w:name="微软雅黑">
    <w:panose1 w:val="020B0503020204020204"/>
    <w:charset w:val="86"/>
    <w:family w:val="swiss"/>
    <w:pitch w:val="default"/>
    <w:sig w:usb0="80000287" w:usb1="2ACF3C50" w:usb2="00000016" w:usb3="00000000" w:csb0="0004001F" w:csb1="00000000"/>
    <w:embedRegular r:id="rId7" w:fontKey="{F6C9704A-E34E-4DCD-AA1A-C7E0324E4C98}"/>
  </w:font>
  <w:font w:name="等线">
    <w:panose1 w:val="02010600030101010101"/>
    <w:charset w:val="86"/>
    <w:family w:val="auto"/>
    <w:pitch w:val="default"/>
    <w:sig w:usb0="A00002BF" w:usb1="38CF7CFA" w:usb2="00000016" w:usb3="00000000" w:csb0="0004000F" w:csb1="00000000"/>
    <w:embedRegular r:id="rId8" w:fontKey="{449D78C5-9801-407C-BF9F-1B5D2EF0B9C7}"/>
  </w:font>
  <w:font w:name="仿宋">
    <w:panose1 w:val="02010609060101010101"/>
    <w:charset w:val="86"/>
    <w:family w:val="modern"/>
    <w:pitch w:val="default"/>
    <w:sig w:usb0="800002BF" w:usb1="38CF7CFA" w:usb2="00000016" w:usb3="00000000" w:csb0="00040001" w:csb1="00000000"/>
    <w:embedRegular r:id="rId9" w:fontKey="{AD173C8E-2E1D-496B-B841-A6B98FD908DE}"/>
  </w:font>
  <w:font w:name="Lucida Sans Unicode">
    <w:panose1 w:val="020B0602030504020204"/>
    <w:charset w:val="00"/>
    <w:family w:val="swiss"/>
    <w:pitch w:val="default"/>
    <w:sig w:usb0="80001AFF" w:usb1="0000396B" w:usb2="00000000" w:usb3="00000000" w:csb0="200000BF" w:csb1="D7F70000"/>
    <w:embedRegular r:id="rId10" w:fontKey="{B6075776-3A26-4362-BB35-29D84D1EAE2C}"/>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862377"/>
    </w:sdtPr>
    <w:sdtContent>
      <w:p>
        <w:pPr>
          <w:pStyle w:val="12"/>
          <w:jc w:val="center"/>
        </w:pPr>
        <w:r>
          <w:fldChar w:fldCharType="begin"/>
        </w:r>
        <w:r>
          <w:instrText xml:space="preserve">PAGE   \* MERGEFORMAT</w:instrText>
        </w:r>
        <w:r>
          <w:fldChar w:fldCharType="separate"/>
        </w:r>
        <w:r>
          <w:rPr>
            <w:lang w:val="zh-CN"/>
          </w:rPr>
          <w:t>1</w:t>
        </w:r>
        <w: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2483006"/>
    </w:sdtPr>
    <w:sdtContent>
      <w:p>
        <w:pPr>
          <w:pStyle w:val="12"/>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C0D699"/>
    <w:multiLevelType w:val="singleLevel"/>
    <w:tmpl w:val="BBC0D699"/>
    <w:lvl w:ilvl="0" w:tentative="0">
      <w:start w:val="4"/>
      <w:numFmt w:val="decimal"/>
      <w:lvlText w:val="%1."/>
      <w:lvlJc w:val="left"/>
      <w:pPr>
        <w:tabs>
          <w:tab w:val="left" w:pos="312"/>
        </w:tabs>
      </w:pPr>
    </w:lvl>
  </w:abstractNum>
  <w:abstractNum w:abstractNumId="1">
    <w:nsid w:val="212545A6"/>
    <w:multiLevelType w:val="multilevel"/>
    <w:tmpl w:val="212545A6"/>
    <w:lvl w:ilvl="0" w:tentative="0">
      <w:start w:val="1"/>
      <w:numFmt w:val="japaneseCounting"/>
      <w:lvlText w:val="第%1章"/>
      <w:lvlJc w:val="left"/>
      <w:pPr>
        <w:ind w:left="1260" w:hanging="12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6F391B8"/>
    <w:multiLevelType w:val="singleLevel"/>
    <w:tmpl w:val="36F391B8"/>
    <w:lvl w:ilvl="0" w:tentative="0">
      <w:start w:val="1"/>
      <w:numFmt w:val="chineseCounting"/>
      <w:suff w:val="nothing"/>
      <w:lvlText w:val="%1、"/>
      <w:lvlJc w:val="left"/>
      <w:rPr>
        <w:rFonts w:hint="eastAsia"/>
      </w:rPr>
    </w:lvl>
  </w:abstractNum>
  <w:abstractNum w:abstractNumId="3">
    <w:nsid w:val="513A51CF"/>
    <w:multiLevelType w:val="multilevel"/>
    <w:tmpl w:val="513A51C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abstractNum w:abstractNumId="5">
    <w:nsid w:val="72E0494C"/>
    <w:multiLevelType w:val="multilevel"/>
    <w:tmpl w:val="72E0494C"/>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ZDQyN2ZiMzk5NDc3NWMzMmI0ZGZiZDkzNDI4YmYifQ=="/>
  </w:docVars>
  <w:rsids>
    <w:rsidRoot w:val="00E53C97"/>
    <w:rsid w:val="00000F0A"/>
    <w:rsid w:val="0000113A"/>
    <w:rsid w:val="000130DC"/>
    <w:rsid w:val="00014168"/>
    <w:rsid w:val="000143F1"/>
    <w:rsid w:val="00016421"/>
    <w:rsid w:val="00021634"/>
    <w:rsid w:val="000232BC"/>
    <w:rsid w:val="000250A7"/>
    <w:rsid w:val="0002537B"/>
    <w:rsid w:val="00026750"/>
    <w:rsid w:val="0002762C"/>
    <w:rsid w:val="00030992"/>
    <w:rsid w:val="00035C9B"/>
    <w:rsid w:val="000370EB"/>
    <w:rsid w:val="00043EB1"/>
    <w:rsid w:val="000444E2"/>
    <w:rsid w:val="00047ADF"/>
    <w:rsid w:val="00051432"/>
    <w:rsid w:val="000546B2"/>
    <w:rsid w:val="00054713"/>
    <w:rsid w:val="000575FF"/>
    <w:rsid w:val="00062526"/>
    <w:rsid w:val="00063B58"/>
    <w:rsid w:val="000648B6"/>
    <w:rsid w:val="000668F1"/>
    <w:rsid w:val="0007499B"/>
    <w:rsid w:val="00075FBF"/>
    <w:rsid w:val="00082AF2"/>
    <w:rsid w:val="00085A4F"/>
    <w:rsid w:val="00087775"/>
    <w:rsid w:val="00090735"/>
    <w:rsid w:val="00090B13"/>
    <w:rsid w:val="000913D1"/>
    <w:rsid w:val="000A1737"/>
    <w:rsid w:val="000A472D"/>
    <w:rsid w:val="000A60CF"/>
    <w:rsid w:val="000B3420"/>
    <w:rsid w:val="000B583C"/>
    <w:rsid w:val="000C2CAC"/>
    <w:rsid w:val="000C3A13"/>
    <w:rsid w:val="000D3059"/>
    <w:rsid w:val="000E33C2"/>
    <w:rsid w:val="000F04B3"/>
    <w:rsid w:val="000F0750"/>
    <w:rsid w:val="000F2574"/>
    <w:rsid w:val="000F2C2B"/>
    <w:rsid w:val="000F2F28"/>
    <w:rsid w:val="000F4E3E"/>
    <w:rsid w:val="000F4E6A"/>
    <w:rsid w:val="000F5CAB"/>
    <w:rsid w:val="00104C83"/>
    <w:rsid w:val="00106D6E"/>
    <w:rsid w:val="001117B8"/>
    <w:rsid w:val="00113D8F"/>
    <w:rsid w:val="00114D4F"/>
    <w:rsid w:val="00114E7F"/>
    <w:rsid w:val="0011791E"/>
    <w:rsid w:val="00117EA1"/>
    <w:rsid w:val="00126017"/>
    <w:rsid w:val="001260BC"/>
    <w:rsid w:val="00127287"/>
    <w:rsid w:val="00137318"/>
    <w:rsid w:val="001414DA"/>
    <w:rsid w:val="00142F36"/>
    <w:rsid w:val="001434F5"/>
    <w:rsid w:val="00151587"/>
    <w:rsid w:val="0015745D"/>
    <w:rsid w:val="00160B5F"/>
    <w:rsid w:val="00164545"/>
    <w:rsid w:val="00166AFF"/>
    <w:rsid w:val="00167AFB"/>
    <w:rsid w:val="00174FF8"/>
    <w:rsid w:val="00176173"/>
    <w:rsid w:val="00177DF9"/>
    <w:rsid w:val="00182B50"/>
    <w:rsid w:val="00184104"/>
    <w:rsid w:val="00190FC5"/>
    <w:rsid w:val="001939BE"/>
    <w:rsid w:val="00195046"/>
    <w:rsid w:val="00196E32"/>
    <w:rsid w:val="001A7776"/>
    <w:rsid w:val="001B06B2"/>
    <w:rsid w:val="001B08D7"/>
    <w:rsid w:val="001B0E41"/>
    <w:rsid w:val="001B5F32"/>
    <w:rsid w:val="001C1602"/>
    <w:rsid w:val="001C2097"/>
    <w:rsid w:val="001C30AA"/>
    <w:rsid w:val="001C5493"/>
    <w:rsid w:val="001D0134"/>
    <w:rsid w:val="001F005A"/>
    <w:rsid w:val="001F101E"/>
    <w:rsid w:val="001F1E3C"/>
    <w:rsid w:val="001F66E4"/>
    <w:rsid w:val="00200A22"/>
    <w:rsid w:val="00202068"/>
    <w:rsid w:val="00211C3D"/>
    <w:rsid w:val="0022423E"/>
    <w:rsid w:val="002261ED"/>
    <w:rsid w:val="0023350D"/>
    <w:rsid w:val="002407FA"/>
    <w:rsid w:val="002421E7"/>
    <w:rsid w:val="00243909"/>
    <w:rsid w:val="002553C8"/>
    <w:rsid w:val="00255460"/>
    <w:rsid w:val="00271546"/>
    <w:rsid w:val="00273020"/>
    <w:rsid w:val="002868D7"/>
    <w:rsid w:val="00290C22"/>
    <w:rsid w:val="002910EB"/>
    <w:rsid w:val="00292A1D"/>
    <w:rsid w:val="00294798"/>
    <w:rsid w:val="00297DAE"/>
    <w:rsid w:val="002A3DCF"/>
    <w:rsid w:val="002A70F0"/>
    <w:rsid w:val="002B07C7"/>
    <w:rsid w:val="002B18CF"/>
    <w:rsid w:val="002B2105"/>
    <w:rsid w:val="002B273F"/>
    <w:rsid w:val="002B3D0B"/>
    <w:rsid w:val="002E3AB0"/>
    <w:rsid w:val="002E78B9"/>
    <w:rsid w:val="002F1D15"/>
    <w:rsid w:val="002F25EA"/>
    <w:rsid w:val="002F2DE2"/>
    <w:rsid w:val="003001AE"/>
    <w:rsid w:val="00304DFD"/>
    <w:rsid w:val="00312EEB"/>
    <w:rsid w:val="00316507"/>
    <w:rsid w:val="003265E9"/>
    <w:rsid w:val="0032690E"/>
    <w:rsid w:val="003276E5"/>
    <w:rsid w:val="00332A34"/>
    <w:rsid w:val="00335259"/>
    <w:rsid w:val="00336732"/>
    <w:rsid w:val="0034106E"/>
    <w:rsid w:val="00341421"/>
    <w:rsid w:val="003562AC"/>
    <w:rsid w:val="00356BFC"/>
    <w:rsid w:val="003600E3"/>
    <w:rsid w:val="00360D90"/>
    <w:rsid w:val="0036273B"/>
    <w:rsid w:val="00363A54"/>
    <w:rsid w:val="0036630D"/>
    <w:rsid w:val="003679CB"/>
    <w:rsid w:val="00375999"/>
    <w:rsid w:val="003766C8"/>
    <w:rsid w:val="00376EB8"/>
    <w:rsid w:val="003778DA"/>
    <w:rsid w:val="00377C3B"/>
    <w:rsid w:val="00382E59"/>
    <w:rsid w:val="003860B6"/>
    <w:rsid w:val="00395265"/>
    <w:rsid w:val="00396011"/>
    <w:rsid w:val="003A1898"/>
    <w:rsid w:val="003A3F84"/>
    <w:rsid w:val="003B6F3F"/>
    <w:rsid w:val="003C2919"/>
    <w:rsid w:val="003D10F2"/>
    <w:rsid w:val="003D36EF"/>
    <w:rsid w:val="003D6A88"/>
    <w:rsid w:val="003D71A6"/>
    <w:rsid w:val="003D7327"/>
    <w:rsid w:val="003F52FB"/>
    <w:rsid w:val="00401F7A"/>
    <w:rsid w:val="004062D1"/>
    <w:rsid w:val="004073D3"/>
    <w:rsid w:val="004077A5"/>
    <w:rsid w:val="00411E0E"/>
    <w:rsid w:val="004121BC"/>
    <w:rsid w:val="004218B4"/>
    <w:rsid w:val="00425397"/>
    <w:rsid w:val="00425E42"/>
    <w:rsid w:val="00431C6D"/>
    <w:rsid w:val="004340AC"/>
    <w:rsid w:val="0044056E"/>
    <w:rsid w:val="00440612"/>
    <w:rsid w:val="0044115C"/>
    <w:rsid w:val="00442413"/>
    <w:rsid w:val="0044408F"/>
    <w:rsid w:val="00446CCB"/>
    <w:rsid w:val="0044742E"/>
    <w:rsid w:val="00453E52"/>
    <w:rsid w:val="004561AB"/>
    <w:rsid w:val="00456B7D"/>
    <w:rsid w:val="00460B00"/>
    <w:rsid w:val="004644B4"/>
    <w:rsid w:val="004648BC"/>
    <w:rsid w:val="00467A47"/>
    <w:rsid w:val="00471D2F"/>
    <w:rsid w:val="00475A43"/>
    <w:rsid w:val="00475F3C"/>
    <w:rsid w:val="00477DE8"/>
    <w:rsid w:val="00482369"/>
    <w:rsid w:val="0048599B"/>
    <w:rsid w:val="004929AE"/>
    <w:rsid w:val="00495873"/>
    <w:rsid w:val="004A34E0"/>
    <w:rsid w:val="004A6107"/>
    <w:rsid w:val="004A65CD"/>
    <w:rsid w:val="004A69B0"/>
    <w:rsid w:val="004B25E7"/>
    <w:rsid w:val="004B511F"/>
    <w:rsid w:val="004C5A17"/>
    <w:rsid w:val="004D6335"/>
    <w:rsid w:val="004E690C"/>
    <w:rsid w:val="004E7420"/>
    <w:rsid w:val="004F52EB"/>
    <w:rsid w:val="004F5474"/>
    <w:rsid w:val="0050167D"/>
    <w:rsid w:val="00503C7A"/>
    <w:rsid w:val="005057F8"/>
    <w:rsid w:val="00506C6D"/>
    <w:rsid w:val="00506E08"/>
    <w:rsid w:val="0051571E"/>
    <w:rsid w:val="0051629A"/>
    <w:rsid w:val="00517037"/>
    <w:rsid w:val="00520A6E"/>
    <w:rsid w:val="00523EC0"/>
    <w:rsid w:val="00525A5F"/>
    <w:rsid w:val="00525B4F"/>
    <w:rsid w:val="00526234"/>
    <w:rsid w:val="0053036D"/>
    <w:rsid w:val="005309C4"/>
    <w:rsid w:val="00535259"/>
    <w:rsid w:val="005432B8"/>
    <w:rsid w:val="00545521"/>
    <w:rsid w:val="005715A6"/>
    <w:rsid w:val="005741DA"/>
    <w:rsid w:val="00574CE6"/>
    <w:rsid w:val="00575A6D"/>
    <w:rsid w:val="00575AC6"/>
    <w:rsid w:val="005852A7"/>
    <w:rsid w:val="005869BC"/>
    <w:rsid w:val="00596CA0"/>
    <w:rsid w:val="005B2B3A"/>
    <w:rsid w:val="005B30A9"/>
    <w:rsid w:val="005B6748"/>
    <w:rsid w:val="005B6EAC"/>
    <w:rsid w:val="005C54A4"/>
    <w:rsid w:val="005C6038"/>
    <w:rsid w:val="005D2092"/>
    <w:rsid w:val="005D3312"/>
    <w:rsid w:val="005D46D3"/>
    <w:rsid w:val="005D6E84"/>
    <w:rsid w:val="005E3949"/>
    <w:rsid w:val="005F6AB0"/>
    <w:rsid w:val="005F7574"/>
    <w:rsid w:val="006037E2"/>
    <w:rsid w:val="00605DAD"/>
    <w:rsid w:val="006221D9"/>
    <w:rsid w:val="00623297"/>
    <w:rsid w:val="00625F3C"/>
    <w:rsid w:val="00627B25"/>
    <w:rsid w:val="00633A41"/>
    <w:rsid w:val="00641680"/>
    <w:rsid w:val="00641CC2"/>
    <w:rsid w:val="00642859"/>
    <w:rsid w:val="00646F19"/>
    <w:rsid w:val="00652797"/>
    <w:rsid w:val="00671903"/>
    <w:rsid w:val="00674B0F"/>
    <w:rsid w:val="006770EB"/>
    <w:rsid w:val="00677327"/>
    <w:rsid w:val="00690423"/>
    <w:rsid w:val="00691EAC"/>
    <w:rsid w:val="00693785"/>
    <w:rsid w:val="006937D2"/>
    <w:rsid w:val="006A25F2"/>
    <w:rsid w:val="006A4B5A"/>
    <w:rsid w:val="006B30BD"/>
    <w:rsid w:val="006B39F6"/>
    <w:rsid w:val="006B3F75"/>
    <w:rsid w:val="006B7BFE"/>
    <w:rsid w:val="006C0472"/>
    <w:rsid w:val="006C131B"/>
    <w:rsid w:val="006C3AA4"/>
    <w:rsid w:val="006C458B"/>
    <w:rsid w:val="006D6682"/>
    <w:rsid w:val="006E0AFA"/>
    <w:rsid w:val="006E27F0"/>
    <w:rsid w:val="006E33CF"/>
    <w:rsid w:val="006F035A"/>
    <w:rsid w:val="007024C5"/>
    <w:rsid w:val="00702927"/>
    <w:rsid w:val="00705CB2"/>
    <w:rsid w:val="0071033E"/>
    <w:rsid w:val="007229DE"/>
    <w:rsid w:val="0072444B"/>
    <w:rsid w:val="00725357"/>
    <w:rsid w:val="00726D10"/>
    <w:rsid w:val="00732CB4"/>
    <w:rsid w:val="0073440A"/>
    <w:rsid w:val="00737B71"/>
    <w:rsid w:val="00741F0F"/>
    <w:rsid w:val="00746B9E"/>
    <w:rsid w:val="00747E22"/>
    <w:rsid w:val="0075108D"/>
    <w:rsid w:val="007532BB"/>
    <w:rsid w:val="00757AF2"/>
    <w:rsid w:val="0076417F"/>
    <w:rsid w:val="0076717F"/>
    <w:rsid w:val="00770ABC"/>
    <w:rsid w:val="00777A18"/>
    <w:rsid w:val="007809C3"/>
    <w:rsid w:val="00783501"/>
    <w:rsid w:val="0078675E"/>
    <w:rsid w:val="007876B6"/>
    <w:rsid w:val="0079081A"/>
    <w:rsid w:val="0079260F"/>
    <w:rsid w:val="007A1B29"/>
    <w:rsid w:val="007A2939"/>
    <w:rsid w:val="007B3424"/>
    <w:rsid w:val="007B7FB0"/>
    <w:rsid w:val="007C2E08"/>
    <w:rsid w:val="007C55F0"/>
    <w:rsid w:val="007D0222"/>
    <w:rsid w:val="007D1C4B"/>
    <w:rsid w:val="007D43BB"/>
    <w:rsid w:val="007D5EEA"/>
    <w:rsid w:val="007E4BDC"/>
    <w:rsid w:val="007E5C27"/>
    <w:rsid w:val="007F14E9"/>
    <w:rsid w:val="007F1CB6"/>
    <w:rsid w:val="007F2DEF"/>
    <w:rsid w:val="007F396D"/>
    <w:rsid w:val="007F3B11"/>
    <w:rsid w:val="007F3E4B"/>
    <w:rsid w:val="007F5D25"/>
    <w:rsid w:val="00800B6F"/>
    <w:rsid w:val="00803F7C"/>
    <w:rsid w:val="008070C4"/>
    <w:rsid w:val="00807A5C"/>
    <w:rsid w:val="0082168C"/>
    <w:rsid w:val="0082187E"/>
    <w:rsid w:val="00821CDC"/>
    <w:rsid w:val="00821F49"/>
    <w:rsid w:val="00822D97"/>
    <w:rsid w:val="00825EDB"/>
    <w:rsid w:val="00826362"/>
    <w:rsid w:val="0083673A"/>
    <w:rsid w:val="0084387D"/>
    <w:rsid w:val="00846747"/>
    <w:rsid w:val="00853ED5"/>
    <w:rsid w:val="00854333"/>
    <w:rsid w:val="008546B4"/>
    <w:rsid w:val="008567A1"/>
    <w:rsid w:val="00857572"/>
    <w:rsid w:val="008651A7"/>
    <w:rsid w:val="00867202"/>
    <w:rsid w:val="0087071F"/>
    <w:rsid w:val="00870A28"/>
    <w:rsid w:val="00870CCF"/>
    <w:rsid w:val="0087149D"/>
    <w:rsid w:val="00874017"/>
    <w:rsid w:val="008803AE"/>
    <w:rsid w:val="008918A9"/>
    <w:rsid w:val="00891F18"/>
    <w:rsid w:val="008947F8"/>
    <w:rsid w:val="008A0B1C"/>
    <w:rsid w:val="008A175D"/>
    <w:rsid w:val="008A25B0"/>
    <w:rsid w:val="008A4C87"/>
    <w:rsid w:val="008A4E30"/>
    <w:rsid w:val="008A6821"/>
    <w:rsid w:val="008B4AA9"/>
    <w:rsid w:val="008C4485"/>
    <w:rsid w:val="008D5002"/>
    <w:rsid w:val="008E0089"/>
    <w:rsid w:val="008E68F5"/>
    <w:rsid w:val="008F6730"/>
    <w:rsid w:val="008F75F5"/>
    <w:rsid w:val="00900693"/>
    <w:rsid w:val="00905A44"/>
    <w:rsid w:val="00906343"/>
    <w:rsid w:val="00912B62"/>
    <w:rsid w:val="00923E80"/>
    <w:rsid w:val="009259E3"/>
    <w:rsid w:val="0092626E"/>
    <w:rsid w:val="00930F1F"/>
    <w:rsid w:val="00931FC1"/>
    <w:rsid w:val="00934AAD"/>
    <w:rsid w:val="00940F88"/>
    <w:rsid w:val="00942CB9"/>
    <w:rsid w:val="00944FEA"/>
    <w:rsid w:val="0094688E"/>
    <w:rsid w:val="0095340A"/>
    <w:rsid w:val="009625F8"/>
    <w:rsid w:val="0096591B"/>
    <w:rsid w:val="0097047F"/>
    <w:rsid w:val="00970706"/>
    <w:rsid w:val="00971A10"/>
    <w:rsid w:val="00983654"/>
    <w:rsid w:val="00984AED"/>
    <w:rsid w:val="009944F2"/>
    <w:rsid w:val="009948C7"/>
    <w:rsid w:val="009956E3"/>
    <w:rsid w:val="009959E4"/>
    <w:rsid w:val="00996490"/>
    <w:rsid w:val="009969F6"/>
    <w:rsid w:val="009A6812"/>
    <w:rsid w:val="009B1BE5"/>
    <w:rsid w:val="009B2798"/>
    <w:rsid w:val="009B4B74"/>
    <w:rsid w:val="009B61D3"/>
    <w:rsid w:val="009B6996"/>
    <w:rsid w:val="009B7C54"/>
    <w:rsid w:val="009C4891"/>
    <w:rsid w:val="009C6DEC"/>
    <w:rsid w:val="009C6EA7"/>
    <w:rsid w:val="009D3894"/>
    <w:rsid w:val="009D5EF3"/>
    <w:rsid w:val="009E0981"/>
    <w:rsid w:val="009E1311"/>
    <w:rsid w:val="009E292A"/>
    <w:rsid w:val="009F381B"/>
    <w:rsid w:val="009F3C04"/>
    <w:rsid w:val="009F4365"/>
    <w:rsid w:val="009F6BF3"/>
    <w:rsid w:val="00A01285"/>
    <w:rsid w:val="00A21EB8"/>
    <w:rsid w:val="00A21EF8"/>
    <w:rsid w:val="00A30C40"/>
    <w:rsid w:val="00A30ED6"/>
    <w:rsid w:val="00A31323"/>
    <w:rsid w:val="00A3473F"/>
    <w:rsid w:val="00A35129"/>
    <w:rsid w:val="00A37CC6"/>
    <w:rsid w:val="00A406B2"/>
    <w:rsid w:val="00A42810"/>
    <w:rsid w:val="00A473EF"/>
    <w:rsid w:val="00A5311C"/>
    <w:rsid w:val="00A635CC"/>
    <w:rsid w:val="00A65272"/>
    <w:rsid w:val="00A65ABC"/>
    <w:rsid w:val="00A67D27"/>
    <w:rsid w:val="00A703DE"/>
    <w:rsid w:val="00A753F5"/>
    <w:rsid w:val="00A75564"/>
    <w:rsid w:val="00A8142E"/>
    <w:rsid w:val="00A83794"/>
    <w:rsid w:val="00A83EBF"/>
    <w:rsid w:val="00A8527A"/>
    <w:rsid w:val="00A86DBF"/>
    <w:rsid w:val="00A879E9"/>
    <w:rsid w:val="00AA537F"/>
    <w:rsid w:val="00AA5C79"/>
    <w:rsid w:val="00AB0034"/>
    <w:rsid w:val="00AB7315"/>
    <w:rsid w:val="00AC2C94"/>
    <w:rsid w:val="00AC4DA9"/>
    <w:rsid w:val="00AD10B8"/>
    <w:rsid w:val="00AE7D1F"/>
    <w:rsid w:val="00AE7E72"/>
    <w:rsid w:val="00AF0530"/>
    <w:rsid w:val="00AF10B5"/>
    <w:rsid w:val="00AF202B"/>
    <w:rsid w:val="00AF7135"/>
    <w:rsid w:val="00B02CD9"/>
    <w:rsid w:val="00B05C24"/>
    <w:rsid w:val="00B11514"/>
    <w:rsid w:val="00B123E3"/>
    <w:rsid w:val="00B15D61"/>
    <w:rsid w:val="00B2364D"/>
    <w:rsid w:val="00B27F6B"/>
    <w:rsid w:val="00B30FD5"/>
    <w:rsid w:val="00B314FA"/>
    <w:rsid w:val="00B34BDF"/>
    <w:rsid w:val="00B44A06"/>
    <w:rsid w:val="00B46BE1"/>
    <w:rsid w:val="00B50336"/>
    <w:rsid w:val="00B536C8"/>
    <w:rsid w:val="00B53B7F"/>
    <w:rsid w:val="00B62B96"/>
    <w:rsid w:val="00B63D3E"/>
    <w:rsid w:val="00B66BBD"/>
    <w:rsid w:val="00B7082A"/>
    <w:rsid w:val="00B775D1"/>
    <w:rsid w:val="00B8750D"/>
    <w:rsid w:val="00B9212A"/>
    <w:rsid w:val="00BA0FBC"/>
    <w:rsid w:val="00BA28FE"/>
    <w:rsid w:val="00BA3D89"/>
    <w:rsid w:val="00BA4781"/>
    <w:rsid w:val="00BB0162"/>
    <w:rsid w:val="00BB31D1"/>
    <w:rsid w:val="00BB5925"/>
    <w:rsid w:val="00BC1FF2"/>
    <w:rsid w:val="00BC250C"/>
    <w:rsid w:val="00BD15B8"/>
    <w:rsid w:val="00BD16FF"/>
    <w:rsid w:val="00BD3238"/>
    <w:rsid w:val="00BD3DFD"/>
    <w:rsid w:val="00BD3ECB"/>
    <w:rsid w:val="00BD5D39"/>
    <w:rsid w:val="00BE3F28"/>
    <w:rsid w:val="00BE5488"/>
    <w:rsid w:val="00BF267F"/>
    <w:rsid w:val="00BF7398"/>
    <w:rsid w:val="00C034F5"/>
    <w:rsid w:val="00C04D4A"/>
    <w:rsid w:val="00C10052"/>
    <w:rsid w:val="00C11EE2"/>
    <w:rsid w:val="00C369F8"/>
    <w:rsid w:val="00C414F6"/>
    <w:rsid w:val="00C519CF"/>
    <w:rsid w:val="00C5559A"/>
    <w:rsid w:val="00C65BA6"/>
    <w:rsid w:val="00C660EC"/>
    <w:rsid w:val="00C72998"/>
    <w:rsid w:val="00C84D1A"/>
    <w:rsid w:val="00C86CD7"/>
    <w:rsid w:val="00C876CB"/>
    <w:rsid w:val="00C946AB"/>
    <w:rsid w:val="00CA2AD4"/>
    <w:rsid w:val="00CA4F3F"/>
    <w:rsid w:val="00CB36BD"/>
    <w:rsid w:val="00CB3F6E"/>
    <w:rsid w:val="00CB49C3"/>
    <w:rsid w:val="00CC1515"/>
    <w:rsid w:val="00CC23CB"/>
    <w:rsid w:val="00CC3D93"/>
    <w:rsid w:val="00CD0D4C"/>
    <w:rsid w:val="00CD4086"/>
    <w:rsid w:val="00CD78FC"/>
    <w:rsid w:val="00CE509A"/>
    <w:rsid w:val="00CF1D7C"/>
    <w:rsid w:val="00D02048"/>
    <w:rsid w:val="00D03CA6"/>
    <w:rsid w:val="00D12061"/>
    <w:rsid w:val="00D200D9"/>
    <w:rsid w:val="00D24424"/>
    <w:rsid w:val="00D37267"/>
    <w:rsid w:val="00D42924"/>
    <w:rsid w:val="00D51391"/>
    <w:rsid w:val="00D53F7B"/>
    <w:rsid w:val="00D61084"/>
    <w:rsid w:val="00D65F63"/>
    <w:rsid w:val="00D66276"/>
    <w:rsid w:val="00D74248"/>
    <w:rsid w:val="00D75668"/>
    <w:rsid w:val="00D8064E"/>
    <w:rsid w:val="00D82FE3"/>
    <w:rsid w:val="00D873F6"/>
    <w:rsid w:val="00D9067E"/>
    <w:rsid w:val="00D91495"/>
    <w:rsid w:val="00D926DA"/>
    <w:rsid w:val="00DB1DE6"/>
    <w:rsid w:val="00DB22F6"/>
    <w:rsid w:val="00DB7D7B"/>
    <w:rsid w:val="00DC1C2F"/>
    <w:rsid w:val="00DC4CEC"/>
    <w:rsid w:val="00DC5C8A"/>
    <w:rsid w:val="00DC7F98"/>
    <w:rsid w:val="00DD116B"/>
    <w:rsid w:val="00DD24E5"/>
    <w:rsid w:val="00DD3D66"/>
    <w:rsid w:val="00DD3FD2"/>
    <w:rsid w:val="00DD48E7"/>
    <w:rsid w:val="00DD508E"/>
    <w:rsid w:val="00DE1BF5"/>
    <w:rsid w:val="00DE1C43"/>
    <w:rsid w:val="00DE58C3"/>
    <w:rsid w:val="00DE7C82"/>
    <w:rsid w:val="00DF5FD6"/>
    <w:rsid w:val="00E03D1A"/>
    <w:rsid w:val="00E04D63"/>
    <w:rsid w:val="00E05967"/>
    <w:rsid w:val="00E0608F"/>
    <w:rsid w:val="00E12427"/>
    <w:rsid w:val="00E200A3"/>
    <w:rsid w:val="00E27D5F"/>
    <w:rsid w:val="00E30D63"/>
    <w:rsid w:val="00E33229"/>
    <w:rsid w:val="00E3628C"/>
    <w:rsid w:val="00E41326"/>
    <w:rsid w:val="00E446CD"/>
    <w:rsid w:val="00E460C6"/>
    <w:rsid w:val="00E46202"/>
    <w:rsid w:val="00E47850"/>
    <w:rsid w:val="00E50C0B"/>
    <w:rsid w:val="00E525C6"/>
    <w:rsid w:val="00E53C97"/>
    <w:rsid w:val="00E57E9E"/>
    <w:rsid w:val="00E6158B"/>
    <w:rsid w:val="00E6593E"/>
    <w:rsid w:val="00E66282"/>
    <w:rsid w:val="00E72308"/>
    <w:rsid w:val="00E72BF9"/>
    <w:rsid w:val="00E74952"/>
    <w:rsid w:val="00E758F6"/>
    <w:rsid w:val="00E842B3"/>
    <w:rsid w:val="00E87132"/>
    <w:rsid w:val="00E90BED"/>
    <w:rsid w:val="00E93BBC"/>
    <w:rsid w:val="00E95983"/>
    <w:rsid w:val="00EA35AE"/>
    <w:rsid w:val="00EA40E5"/>
    <w:rsid w:val="00EB1164"/>
    <w:rsid w:val="00EB260E"/>
    <w:rsid w:val="00EB4082"/>
    <w:rsid w:val="00EC682D"/>
    <w:rsid w:val="00ED1B94"/>
    <w:rsid w:val="00ED40E2"/>
    <w:rsid w:val="00ED45C6"/>
    <w:rsid w:val="00ED5DF5"/>
    <w:rsid w:val="00ED7DFE"/>
    <w:rsid w:val="00EE0997"/>
    <w:rsid w:val="00EE499B"/>
    <w:rsid w:val="00F0217A"/>
    <w:rsid w:val="00F037D1"/>
    <w:rsid w:val="00F0676D"/>
    <w:rsid w:val="00F1125C"/>
    <w:rsid w:val="00F15744"/>
    <w:rsid w:val="00F15A07"/>
    <w:rsid w:val="00F207D9"/>
    <w:rsid w:val="00F20D84"/>
    <w:rsid w:val="00F312B3"/>
    <w:rsid w:val="00F312DF"/>
    <w:rsid w:val="00F34A0F"/>
    <w:rsid w:val="00F36E7A"/>
    <w:rsid w:val="00F375CF"/>
    <w:rsid w:val="00F37A7A"/>
    <w:rsid w:val="00F430E4"/>
    <w:rsid w:val="00F50168"/>
    <w:rsid w:val="00F54059"/>
    <w:rsid w:val="00F558D0"/>
    <w:rsid w:val="00F561D7"/>
    <w:rsid w:val="00F625A6"/>
    <w:rsid w:val="00F62BA9"/>
    <w:rsid w:val="00F65B5F"/>
    <w:rsid w:val="00F67CC2"/>
    <w:rsid w:val="00F70B5B"/>
    <w:rsid w:val="00F73826"/>
    <w:rsid w:val="00F73A6B"/>
    <w:rsid w:val="00F75A95"/>
    <w:rsid w:val="00F7706F"/>
    <w:rsid w:val="00F81CC1"/>
    <w:rsid w:val="00F828B1"/>
    <w:rsid w:val="00F842CA"/>
    <w:rsid w:val="00F90BAE"/>
    <w:rsid w:val="00F92F8C"/>
    <w:rsid w:val="00FA0DB6"/>
    <w:rsid w:val="00FA77CC"/>
    <w:rsid w:val="00FB4670"/>
    <w:rsid w:val="00FB7408"/>
    <w:rsid w:val="00FC256E"/>
    <w:rsid w:val="00FC4EBD"/>
    <w:rsid w:val="00FC5BFC"/>
    <w:rsid w:val="00FC5CBD"/>
    <w:rsid w:val="00FD5E52"/>
    <w:rsid w:val="00FD6873"/>
    <w:rsid w:val="00FE09C5"/>
    <w:rsid w:val="00FF0DDA"/>
    <w:rsid w:val="00FF215E"/>
    <w:rsid w:val="00FF6DD5"/>
    <w:rsid w:val="01D05165"/>
    <w:rsid w:val="043E3047"/>
    <w:rsid w:val="05B10E6F"/>
    <w:rsid w:val="07821BE8"/>
    <w:rsid w:val="0914179B"/>
    <w:rsid w:val="0AD812A7"/>
    <w:rsid w:val="0B285936"/>
    <w:rsid w:val="0B7109C2"/>
    <w:rsid w:val="0C746753"/>
    <w:rsid w:val="0D1C6447"/>
    <w:rsid w:val="0D57246F"/>
    <w:rsid w:val="0DB33701"/>
    <w:rsid w:val="0E07080F"/>
    <w:rsid w:val="110601F5"/>
    <w:rsid w:val="1435390A"/>
    <w:rsid w:val="171D187D"/>
    <w:rsid w:val="1722359D"/>
    <w:rsid w:val="173B0EDD"/>
    <w:rsid w:val="18E97F09"/>
    <w:rsid w:val="1A2F2188"/>
    <w:rsid w:val="1AA734CD"/>
    <w:rsid w:val="1AB214E3"/>
    <w:rsid w:val="1B7A2F0A"/>
    <w:rsid w:val="1C532879"/>
    <w:rsid w:val="1DE229AD"/>
    <w:rsid w:val="1EED71F9"/>
    <w:rsid w:val="1F4C61A4"/>
    <w:rsid w:val="1FAF0764"/>
    <w:rsid w:val="200B1262"/>
    <w:rsid w:val="21FF77A7"/>
    <w:rsid w:val="22E23A77"/>
    <w:rsid w:val="242C183B"/>
    <w:rsid w:val="251E0645"/>
    <w:rsid w:val="26204E62"/>
    <w:rsid w:val="26D21228"/>
    <w:rsid w:val="293C112A"/>
    <w:rsid w:val="2B257347"/>
    <w:rsid w:val="2B88648B"/>
    <w:rsid w:val="2BF80676"/>
    <w:rsid w:val="2CA85564"/>
    <w:rsid w:val="2DD469FD"/>
    <w:rsid w:val="2E031810"/>
    <w:rsid w:val="2EE9014E"/>
    <w:rsid w:val="2F832C85"/>
    <w:rsid w:val="2FC47215"/>
    <w:rsid w:val="315D4DA9"/>
    <w:rsid w:val="315D66B5"/>
    <w:rsid w:val="32643D9D"/>
    <w:rsid w:val="329B47B6"/>
    <w:rsid w:val="33D02368"/>
    <w:rsid w:val="3423200B"/>
    <w:rsid w:val="34803BBB"/>
    <w:rsid w:val="359F614A"/>
    <w:rsid w:val="36914E98"/>
    <w:rsid w:val="37687528"/>
    <w:rsid w:val="38B50567"/>
    <w:rsid w:val="39F06807"/>
    <w:rsid w:val="3A435965"/>
    <w:rsid w:val="3B2472B8"/>
    <w:rsid w:val="3B33008A"/>
    <w:rsid w:val="3C6B301D"/>
    <w:rsid w:val="3EEB56AD"/>
    <w:rsid w:val="3F7313F8"/>
    <w:rsid w:val="3FBF43B6"/>
    <w:rsid w:val="3FC372B1"/>
    <w:rsid w:val="41144350"/>
    <w:rsid w:val="430624E6"/>
    <w:rsid w:val="4442785A"/>
    <w:rsid w:val="44D8126F"/>
    <w:rsid w:val="475C16FB"/>
    <w:rsid w:val="4765632E"/>
    <w:rsid w:val="476B521A"/>
    <w:rsid w:val="48FE1019"/>
    <w:rsid w:val="49724A92"/>
    <w:rsid w:val="4B32437C"/>
    <w:rsid w:val="4EE51A05"/>
    <w:rsid w:val="4FDF6855"/>
    <w:rsid w:val="50912B37"/>
    <w:rsid w:val="51E728A3"/>
    <w:rsid w:val="52206DAE"/>
    <w:rsid w:val="54811B42"/>
    <w:rsid w:val="579178DF"/>
    <w:rsid w:val="57C17394"/>
    <w:rsid w:val="591B0A8A"/>
    <w:rsid w:val="599607BD"/>
    <w:rsid w:val="5B8A5421"/>
    <w:rsid w:val="5C147475"/>
    <w:rsid w:val="5C2B4775"/>
    <w:rsid w:val="5DF03C66"/>
    <w:rsid w:val="5EBA1BB4"/>
    <w:rsid w:val="5F1D4538"/>
    <w:rsid w:val="5F610B8F"/>
    <w:rsid w:val="5FF7471F"/>
    <w:rsid w:val="60954120"/>
    <w:rsid w:val="63E33856"/>
    <w:rsid w:val="64DC5C1F"/>
    <w:rsid w:val="654A7049"/>
    <w:rsid w:val="66A63744"/>
    <w:rsid w:val="680D106A"/>
    <w:rsid w:val="6A681023"/>
    <w:rsid w:val="6AFF7D08"/>
    <w:rsid w:val="6F264369"/>
    <w:rsid w:val="73DE5EB2"/>
    <w:rsid w:val="748D1E64"/>
    <w:rsid w:val="750464F7"/>
    <w:rsid w:val="75083251"/>
    <w:rsid w:val="750D5C8A"/>
    <w:rsid w:val="76DA64E5"/>
    <w:rsid w:val="788474B1"/>
    <w:rsid w:val="7A4406BF"/>
    <w:rsid w:val="7D6C1836"/>
    <w:rsid w:val="7DA213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33"/>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4"/>
    <w:qFormat/>
    <w:uiPriority w:val="0"/>
    <w:pPr>
      <w:ind w:firstLine="420" w:firstLineChars="200"/>
    </w:pPr>
    <w:rPr>
      <w:rFonts w:ascii="Times New Roman" w:hAnsi="Times New Roman" w:eastAsia="宋体" w:cs="Times New Roman"/>
      <w:szCs w:val="24"/>
    </w:rPr>
  </w:style>
  <w:style w:type="paragraph" w:styleId="6">
    <w:name w:val="annotation text"/>
    <w:basedOn w:val="1"/>
    <w:link w:val="50"/>
    <w:semiHidden/>
    <w:unhideWhenUsed/>
    <w:qFormat/>
    <w:uiPriority w:val="99"/>
    <w:pPr>
      <w:jc w:val="left"/>
    </w:pPr>
  </w:style>
  <w:style w:type="paragraph" w:styleId="7">
    <w:name w:val="Body Text"/>
    <w:basedOn w:val="1"/>
    <w:link w:val="42"/>
    <w:qFormat/>
    <w:uiPriority w:val="0"/>
    <w:pPr>
      <w:spacing w:after="120"/>
    </w:pPr>
    <w:rPr>
      <w:rFonts w:ascii="Calibri" w:hAnsi="Calibri" w:eastAsia="宋体" w:cs="黑体"/>
      <w:szCs w:val="24"/>
    </w:rPr>
  </w:style>
  <w:style w:type="paragraph" w:styleId="8">
    <w:name w:val="Body Text Indent"/>
    <w:basedOn w:val="1"/>
    <w:link w:val="56"/>
    <w:semiHidden/>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Plain Text"/>
    <w:basedOn w:val="1"/>
    <w:link w:val="53"/>
    <w:qFormat/>
    <w:uiPriority w:val="0"/>
    <w:pPr>
      <w:adjustRightInd w:val="0"/>
      <w:spacing w:line="312" w:lineRule="atLeast"/>
      <w:textAlignment w:val="baseline"/>
    </w:pPr>
    <w:rPr>
      <w:rFonts w:ascii="宋体" w:hAnsi="Courier New" w:eastAsia="宋体" w:cs="Times New Roman"/>
      <w:kern w:val="0"/>
      <w:szCs w:val="21"/>
    </w:rPr>
  </w:style>
  <w:style w:type="paragraph" w:styleId="11">
    <w:name w:val="Balloon Text"/>
    <w:basedOn w:val="1"/>
    <w:link w:val="39"/>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link w:val="47"/>
    <w:semiHidden/>
    <w:unhideWhenUsed/>
    <w:qFormat/>
    <w:uiPriority w:val="99"/>
    <w:pPr>
      <w:snapToGrid w:val="0"/>
      <w:jc w:val="left"/>
    </w:pPr>
    <w:rPr>
      <w:rFonts w:ascii="Times New Roman" w:hAnsi="Times New Roman" w:eastAsia="宋体" w:cs="Times New Roman"/>
      <w:sz w:val="18"/>
      <w:szCs w:val="18"/>
    </w:rPr>
  </w:style>
  <w:style w:type="paragraph" w:styleId="16">
    <w:name w:val="Body Text Indent 3"/>
    <w:basedOn w:val="1"/>
    <w:link w:val="60"/>
    <w:unhideWhenUsed/>
    <w:qFormat/>
    <w:uiPriority w:val="0"/>
    <w:pPr>
      <w:spacing w:after="120"/>
      <w:ind w:left="420" w:leftChars="200"/>
    </w:pPr>
    <w:rPr>
      <w:sz w:val="16"/>
      <w:szCs w:val="16"/>
    </w:rPr>
  </w:style>
  <w:style w:type="paragraph" w:styleId="17">
    <w:name w:val="toc 2"/>
    <w:basedOn w:val="1"/>
    <w:next w:val="1"/>
    <w:unhideWhenUsed/>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9">
    <w:name w:val="annotation subject"/>
    <w:basedOn w:val="6"/>
    <w:next w:val="6"/>
    <w:link w:val="51"/>
    <w:semiHidden/>
    <w:unhideWhenUsed/>
    <w:qFormat/>
    <w:uiPriority w:val="99"/>
    <w:rPr>
      <w:b/>
      <w:bCs/>
    </w:rPr>
  </w:style>
  <w:style w:type="paragraph" w:styleId="20">
    <w:name w:val="Body Text First Indent"/>
    <w:basedOn w:val="7"/>
    <w:unhideWhenUsed/>
    <w:qFormat/>
    <w:uiPriority w:val="99"/>
    <w:pPr>
      <w:ind w:firstLine="420" w:firstLineChars="100"/>
    </w:pPr>
    <w:rPr>
      <w:rFonts w:ascii="Calibri" w:hAnsi="Calibri"/>
      <w:szCs w:val="22"/>
    </w:rPr>
  </w:style>
  <w:style w:type="paragraph" w:styleId="21">
    <w:name w:val="Body Text First Indent 2"/>
    <w:basedOn w:val="8"/>
    <w:link w:val="57"/>
    <w:qFormat/>
    <w:uiPriority w:val="0"/>
    <w:pPr>
      <w:ind w:firstLine="420" w:firstLineChars="200"/>
    </w:pPr>
    <w:rPr>
      <w:rFonts w:ascii="Times New Roman" w:hAnsi="Times New Roman" w:eastAsia="宋体" w:cs="Times New Roman"/>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paragraph" w:customStyle="1" w:styleId="29">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List Paragraph"/>
    <w:basedOn w:val="1"/>
    <w:qFormat/>
    <w:uiPriority w:val="34"/>
    <w:pPr>
      <w:ind w:firstLine="420" w:firstLineChars="200"/>
    </w:pPr>
  </w:style>
  <w:style w:type="character" w:customStyle="1" w:styleId="31">
    <w:name w:val="页眉 Char"/>
    <w:basedOn w:val="24"/>
    <w:link w:val="13"/>
    <w:qFormat/>
    <w:uiPriority w:val="0"/>
    <w:rPr>
      <w:sz w:val="18"/>
      <w:szCs w:val="18"/>
    </w:rPr>
  </w:style>
  <w:style w:type="character" w:customStyle="1" w:styleId="32">
    <w:name w:val="页脚 Char"/>
    <w:basedOn w:val="24"/>
    <w:link w:val="12"/>
    <w:qFormat/>
    <w:uiPriority w:val="99"/>
    <w:rPr>
      <w:sz w:val="18"/>
      <w:szCs w:val="18"/>
    </w:rPr>
  </w:style>
  <w:style w:type="character" w:customStyle="1" w:styleId="33">
    <w:name w:val="标题 1 Char"/>
    <w:basedOn w:val="24"/>
    <w:link w:val="2"/>
    <w:qFormat/>
    <w:uiPriority w:val="0"/>
    <w:rPr>
      <w:rFonts w:ascii="Times New Roman" w:hAnsi="Times New Roman" w:eastAsia="宋体" w:cs="Times New Roman"/>
      <w:b/>
      <w:bCs/>
      <w:kern w:val="44"/>
      <w:sz w:val="44"/>
      <w:szCs w:val="44"/>
    </w:rPr>
  </w:style>
  <w:style w:type="paragraph" w:customStyle="1" w:styleId="34">
    <w:name w:val="样式 标题 2 + Times New Roman 四号 非加粗 段前: 5 磅 段后: 0 磅 行距: 固定值 20..."/>
    <w:basedOn w:val="3"/>
    <w:qFormat/>
    <w:uiPriority w:val="0"/>
    <w:pPr>
      <w:tabs>
        <w:tab w:val="left" w:pos="1134"/>
      </w:tabs>
      <w:spacing w:before="100" w:after="0" w:line="400" w:lineRule="exact"/>
    </w:pPr>
    <w:rPr>
      <w:rFonts w:ascii="Times New Roman" w:hAnsi="Times New Roman" w:eastAsia="黑体" w:cs="Times New Roman"/>
      <w:b w:val="0"/>
      <w:bCs w:val="0"/>
      <w:sz w:val="28"/>
      <w:szCs w:val="20"/>
    </w:rPr>
  </w:style>
  <w:style w:type="character" w:customStyle="1" w:styleId="35">
    <w:name w:val="日期 Char"/>
    <w:basedOn w:val="24"/>
    <w:link w:val="36"/>
    <w:qFormat/>
    <w:uiPriority w:val="0"/>
    <w:rPr>
      <w:rFonts w:ascii="宋体" w:hAnsi="Times New Roman" w:eastAsia="宋体" w:cs="Times New Roman"/>
      <w:kern w:val="0"/>
      <w:sz w:val="24"/>
      <w:szCs w:val="20"/>
    </w:rPr>
  </w:style>
  <w:style w:type="paragraph" w:customStyle="1" w:styleId="36">
    <w:name w:val="日期1"/>
    <w:basedOn w:val="1"/>
    <w:next w:val="1"/>
    <w:link w:val="35"/>
    <w:qFormat/>
    <w:uiPriority w:val="0"/>
    <w:pPr>
      <w:adjustRightInd w:val="0"/>
      <w:spacing w:line="360" w:lineRule="atLeast"/>
    </w:pPr>
    <w:rPr>
      <w:rFonts w:ascii="宋体" w:hAnsi="Times New Roman" w:eastAsia="宋体" w:cs="Times New Roman"/>
      <w:kern w:val="0"/>
      <w:sz w:val="24"/>
      <w:szCs w:val="20"/>
    </w:rPr>
  </w:style>
  <w:style w:type="character" w:customStyle="1" w:styleId="37">
    <w:name w:val="标题 2 Char"/>
    <w:basedOn w:val="24"/>
    <w:link w:val="3"/>
    <w:semiHidden/>
    <w:qFormat/>
    <w:uiPriority w:val="9"/>
    <w:rPr>
      <w:rFonts w:asciiTheme="majorHAnsi" w:hAnsiTheme="majorHAnsi" w:eastAsiaTheme="majorEastAsia" w:cstheme="majorBidi"/>
      <w:b/>
      <w:bCs/>
      <w:sz w:val="32"/>
      <w:szCs w:val="32"/>
    </w:rPr>
  </w:style>
  <w:style w:type="paragraph" w:customStyle="1" w:styleId="3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4"/>
    <w:link w:val="11"/>
    <w:semiHidden/>
    <w:qFormat/>
    <w:uiPriority w:val="99"/>
    <w:rPr>
      <w:sz w:val="18"/>
      <w:szCs w:val="18"/>
    </w:rPr>
  </w:style>
  <w:style w:type="paragraph" w:customStyle="1" w:styleId="40">
    <w:name w:val="日期2"/>
    <w:basedOn w:val="1"/>
    <w:next w:val="1"/>
    <w:qFormat/>
    <w:uiPriority w:val="0"/>
    <w:pPr>
      <w:ind w:left="100" w:leftChars="2500"/>
    </w:pPr>
    <w:rPr>
      <w:rFonts w:ascii="宋体" w:hAnsi="宋体" w:eastAsia="宋体" w:cs="Times New Roman"/>
      <w:b/>
      <w:kern w:val="0"/>
      <w:sz w:val="28"/>
      <w:szCs w:val="20"/>
      <w:lang w:val="zh-CN"/>
    </w:rPr>
  </w:style>
  <w:style w:type="paragraph" w:customStyle="1" w:styleId="41">
    <w:name w:val="WPSOffice手动目录 1"/>
    <w:qFormat/>
    <w:uiPriority w:val="0"/>
    <w:rPr>
      <w:rFonts w:ascii="Times New Roman" w:hAnsi="Times New Roman" w:eastAsia="宋体" w:cs="Times New Roman"/>
      <w:lang w:val="en-US" w:eastAsia="zh-CN" w:bidi="ar-SA"/>
    </w:rPr>
  </w:style>
  <w:style w:type="character" w:customStyle="1" w:styleId="42">
    <w:name w:val="正文文本 Char"/>
    <w:basedOn w:val="24"/>
    <w:link w:val="7"/>
    <w:qFormat/>
    <w:uiPriority w:val="0"/>
    <w:rPr>
      <w:rFonts w:ascii="Calibri" w:hAnsi="Calibri" w:eastAsia="宋体" w:cs="黑体"/>
      <w:kern w:val="2"/>
      <w:sz w:val="21"/>
      <w:szCs w:val="24"/>
    </w:rPr>
  </w:style>
  <w:style w:type="paragraph" w:customStyle="1" w:styleId="43">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44">
    <w:name w:val="font01"/>
    <w:basedOn w:val="24"/>
    <w:qFormat/>
    <w:uiPriority w:val="0"/>
    <w:rPr>
      <w:rFonts w:hint="eastAsia" w:ascii="宋体" w:hAnsi="宋体" w:eastAsia="宋体" w:cs="宋体"/>
      <w:color w:val="000000"/>
      <w:sz w:val="32"/>
      <w:szCs w:val="32"/>
      <w:u w:val="none"/>
      <w:vertAlign w:val="subscript"/>
    </w:rPr>
  </w:style>
  <w:style w:type="character" w:customStyle="1" w:styleId="45">
    <w:name w:val="font21"/>
    <w:basedOn w:val="24"/>
    <w:qFormat/>
    <w:uiPriority w:val="0"/>
    <w:rPr>
      <w:rFonts w:hint="eastAsia" w:ascii="宋体" w:hAnsi="宋体" w:eastAsia="宋体" w:cs="宋体"/>
      <w:color w:val="000000"/>
      <w:sz w:val="32"/>
      <w:szCs w:val="32"/>
      <w:u w:val="none"/>
      <w:vertAlign w:val="superscript"/>
    </w:rPr>
  </w:style>
  <w:style w:type="paragraph" w:customStyle="1" w:styleId="46">
    <w:name w:val="Default"/>
    <w:basedOn w:val="1"/>
    <w:next w:val="15"/>
    <w:qFormat/>
    <w:uiPriority w:val="0"/>
    <w:pPr>
      <w:autoSpaceDE w:val="0"/>
      <w:autoSpaceDN w:val="0"/>
      <w:adjustRightInd w:val="0"/>
      <w:jc w:val="left"/>
    </w:pPr>
    <w:rPr>
      <w:rFonts w:hint="eastAsia" w:ascii="宋体" w:hAnsi="Calibri" w:eastAsia="宋体" w:cs="Times New Roman"/>
      <w:color w:val="000000"/>
      <w:kern w:val="0"/>
      <w:sz w:val="24"/>
      <w:szCs w:val="24"/>
    </w:rPr>
  </w:style>
  <w:style w:type="character" w:customStyle="1" w:styleId="47">
    <w:name w:val="脚注文本 Char"/>
    <w:basedOn w:val="24"/>
    <w:link w:val="15"/>
    <w:qFormat/>
    <w:uiPriority w:val="0"/>
    <w:rPr>
      <w:kern w:val="2"/>
      <w:sz w:val="18"/>
      <w:szCs w:val="18"/>
    </w:rPr>
  </w:style>
  <w:style w:type="paragraph" w:customStyle="1" w:styleId="48">
    <w:name w:val="Table Paragraph"/>
    <w:basedOn w:val="1"/>
    <w:qFormat/>
    <w:uiPriority w:val="0"/>
    <w:pPr>
      <w:autoSpaceDE w:val="0"/>
      <w:autoSpaceDN w:val="0"/>
      <w:jc w:val="left"/>
    </w:pPr>
    <w:rPr>
      <w:rFonts w:hint="eastAsia" w:ascii="宋体" w:hAnsi="宋体" w:eastAsia="宋体" w:cs="Times New Roman"/>
      <w:kern w:val="0"/>
      <w:sz w:val="22"/>
    </w:rPr>
  </w:style>
  <w:style w:type="character" w:customStyle="1" w:styleId="49">
    <w:name w:val="未处理的提及1"/>
    <w:basedOn w:val="24"/>
    <w:semiHidden/>
    <w:unhideWhenUsed/>
    <w:qFormat/>
    <w:uiPriority w:val="99"/>
    <w:rPr>
      <w:color w:val="605E5C"/>
      <w:shd w:val="clear" w:color="auto" w:fill="E1DFDD"/>
    </w:rPr>
  </w:style>
  <w:style w:type="character" w:customStyle="1" w:styleId="50">
    <w:name w:val="批注文字 Char"/>
    <w:basedOn w:val="24"/>
    <w:link w:val="6"/>
    <w:semiHidden/>
    <w:qFormat/>
    <w:uiPriority w:val="99"/>
    <w:rPr>
      <w:rFonts w:asciiTheme="minorHAnsi" w:hAnsiTheme="minorHAnsi" w:eastAsiaTheme="minorEastAsia" w:cstheme="minorBidi"/>
      <w:kern w:val="2"/>
      <w:sz w:val="21"/>
      <w:szCs w:val="22"/>
    </w:rPr>
  </w:style>
  <w:style w:type="character" w:customStyle="1" w:styleId="51">
    <w:name w:val="批注主题 Char"/>
    <w:basedOn w:val="50"/>
    <w:link w:val="19"/>
    <w:semiHidden/>
    <w:qFormat/>
    <w:uiPriority w:val="99"/>
    <w:rPr>
      <w:rFonts w:asciiTheme="minorHAnsi" w:hAnsiTheme="minorHAnsi" w:eastAsiaTheme="minorEastAsia" w:cstheme="minorBidi"/>
      <w:b/>
      <w:bCs/>
      <w:kern w:val="2"/>
      <w:sz w:val="21"/>
      <w:szCs w:val="22"/>
    </w:rPr>
  </w:style>
  <w:style w:type="character" w:customStyle="1" w:styleId="52">
    <w:name w:val="未处理的提及2"/>
    <w:basedOn w:val="24"/>
    <w:semiHidden/>
    <w:unhideWhenUsed/>
    <w:qFormat/>
    <w:uiPriority w:val="99"/>
    <w:rPr>
      <w:color w:val="605E5C"/>
      <w:shd w:val="clear" w:color="auto" w:fill="E1DFDD"/>
    </w:rPr>
  </w:style>
  <w:style w:type="character" w:customStyle="1" w:styleId="53">
    <w:name w:val="纯文本 Char"/>
    <w:basedOn w:val="24"/>
    <w:link w:val="10"/>
    <w:qFormat/>
    <w:uiPriority w:val="0"/>
    <w:rPr>
      <w:rFonts w:ascii="宋体" w:hAnsi="Courier New"/>
      <w:sz w:val="21"/>
      <w:szCs w:val="21"/>
    </w:rPr>
  </w:style>
  <w:style w:type="character" w:customStyle="1" w:styleId="54">
    <w:name w:val="正文缩进 Char"/>
    <w:link w:val="5"/>
    <w:qFormat/>
    <w:locked/>
    <w:uiPriority w:val="0"/>
    <w:rPr>
      <w:kern w:val="2"/>
      <w:sz w:val="21"/>
      <w:szCs w:val="24"/>
    </w:rPr>
  </w:style>
  <w:style w:type="paragraph" w:customStyle="1" w:styleId="55">
    <w:name w:val="Particulars Slip"/>
    <w:basedOn w:val="1"/>
    <w:qFormat/>
    <w:uiPriority w:val="0"/>
    <w:pPr>
      <w:tabs>
        <w:tab w:val="left" w:pos="2160"/>
        <w:tab w:val="left" w:pos="2520"/>
        <w:tab w:val="left" w:pos="2880"/>
        <w:tab w:val="left" w:pos="3240"/>
        <w:tab w:val="left" w:pos="3600"/>
        <w:tab w:val="left" w:pos="3960"/>
      </w:tabs>
    </w:pPr>
    <w:rPr>
      <w:rFonts w:ascii="全真簡中楷" w:hAnsi="Times New Roman" w:eastAsia="全真簡中楷" w:cs="Times New Roman"/>
      <w:snapToGrid w:val="0"/>
      <w:kern w:val="0"/>
      <w:sz w:val="28"/>
      <w:szCs w:val="20"/>
      <w:lang w:val="en-GB" w:eastAsia="en-US"/>
    </w:rPr>
  </w:style>
  <w:style w:type="character" w:customStyle="1" w:styleId="56">
    <w:name w:val="正文文本缩进 Char"/>
    <w:basedOn w:val="24"/>
    <w:link w:val="8"/>
    <w:semiHidden/>
    <w:qFormat/>
    <w:uiPriority w:val="99"/>
    <w:rPr>
      <w:rFonts w:asciiTheme="minorHAnsi" w:hAnsiTheme="minorHAnsi" w:eastAsiaTheme="minorEastAsia" w:cstheme="minorBidi"/>
      <w:kern w:val="2"/>
      <w:sz w:val="21"/>
      <w:szCs w:val="22"/>
    </w:rPr>
  </w:style>
  <w:style w:type="character" w:customStyle="1" w:styleId="57">
    <w:name w:val="正文首行缩进 2 Char"/>
    <w:basedOn w:val="56"/>
    <w:link w:val="21"/>
    <w:qFormat/>
    <w:uiPriority w:val="0"/>
    <w:rPr>
      <w:rFonts w:asciiTheme="minorHAnsi" w:hAnsiTheme="minorHAnsi" w:eastAsiaTheme="minorEastAsia" w:cstheme="minorBidi"/>
      <w:kern w:val="2"/>
      <w:sz w:val="21"/>
      <w:szCs w:val="24"/>
    </w:rPr>
  </w:style>
  <w:style w:type="paragraph" w:customStyle="1" w:styleId="58">
    <w:name w:val="正文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59">
    <w:name w:val="标题 3 Char"/>
    <w:basedOn w:val="24"/>
    <w:link w:val="4"/>
    <w:semiHidden/>
    <w:qFormat/>
    <w:uiPriority w:val="9"/>
    <w:rPr>
      <w:rFonts w:asciiTheme="minorHAnsi" w:hAnsiTheme="minorHAnsi" w:eastAsiaTheme="minorEastAsia" w:cstheme="minorBidi"/>
      <w:b/>
      <w:bCs/>
      <w:kern w:val="2"/>
      <w:sz w:val="32"/>
      <w:szCs w:val="32"/>
    </w:rPr>
  </w:style>
  <w:style w:type="character" w:customStyle="1" w:styleId="60">
    <w:name w:val="正文文本缩进 3 Char"/>
    <w:basedOn w:val="24"/>
    <w:link w:val="16"/>
    <w:semiHidden/>
    <w:qFormat/>
    <w:uiPriority w:val="99"/>
    <w:rPr>
      <w:rFonts w:asciiTheme="minorHAnsi" w:hAnsiTheme="minorHAnsi" w:eastAsiaTheme="minorEastAsia" w:cstheme="minorBidi"/>
      <w:kern w:val="2"/>
      <w:sz w:val="16"/>
      <w:szCs w:val="16"/>
    </w:rPr>
  </w:style>
  <w:style w:type="paragraph" w:customStyle="1" w:styleId="61">
    <w:name w:val="默认段落字体 Para Char Char Char1 Char Char Char Char Char Char Char"/>
    <w:basedOn w:val="1"/>
    <w:qFormat/>
    <w:uiPriority w:val="0"/>
    <w:pPr>
      <w:adjustRightInd w:val="0"/>
      <w:spacing w:line="360" w:lineRule="auto"/>
    </w:pPr>
    <w:rPr>
      <w:kern w:val="0"/>
      <w:sz w:val="24"/>
      <w:szCs w:val="20"/>
    </w:rPr>
  </w:style>
  <w:style w:type="paragraph" w:customStyle="1" w:styleId="62">
    <w:name w:val="p0"/>
    <w:basedOn w:val="1"/>
    <w:qFormat/>
    <w:uiPriority w:val="0"/>
    <w:pPr>
      <w:widowControl/>
    </w:pPr>
    <w:rPr>
      <w:kern w:val="0"/>
      <w:szCs w:val="21"/>
    </w:rPr>
  </w:style>
  <w:style w:type="paragraph" w:customStyle="1" w:styleId="63">
    <w:name w:val="Plain Text1"/>
    <w:basedOn w:val="1"/>
    <w:qFormat/>
    <w:uiPriority w:val="0"/>
    <w:pPr>
      <w:adjustRightInd w:val="0"/>
      <w:textAlignment w:val="baseline"/>
    </w:pPr>
    <w:rPr>
      <w:szCs w:val="20"/>
    </w:rPr>
  </w:style>
  <w:style w:type="paragraph" w:customStyle="1" w:styleId="64">
    <w:name w:val="Default Text"/>
    <w:basedOn w:val="1"/>
    <w:qFormat/>
    <w:uiPriority w:val="0"/>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65">
    <w:name w:val="灿"/>
    <w:basedOn w:val="1"/>
    <w:qFormat/>
    <w:uiPriority w:val="0"/>
    <w:pPr>
      <w:tabs>
        <w:tab w:val="left" w:pos="2160"/>
        <w:tab w:val="left" w:pos="2520"/>
        <w:tab w:val="left" w:pos="2880"/>
        <w:tab w:val="left" w:pos="3240"/>
      </w:tabs>
    </w:pPr>
    <w:rPr>
      <w:rFonts w:ascii="華康中楷體" w:hAnsi="Arial" w:eastAsia="華康中楷體"/>
      <w:snapToGrid w:val="0"/>
      <w:kern w:val="0"/>
      <w:sz w:val="24"/>
      <w:szCs w:val="20"/>
      <w:lang w:eastAsia="en-US"/>
    </w:rPr>
  </w:style>
  <w:style w:type="character" w:customStyle="1" w:styleId="66">
    <w:name w:val="font31"/>
    <w:basedOn w:val="24"/>
    <w:qFormat/>
    <w:uiPriority w:val="0"/>
    <w:rPr>
      <w:rFonts w:hint="eastAsia" w:ascii="宋体" w:hAnsi="宋体" w:eastAsia="宋体" w:cs="宋体"/>
      <w:color w:val="000000"/>
      <w:sz w:val="21"/>
      <w:szCs w:val="21"/>
      <w:u w:val="none"/>
    </w:rPr>
  </w:style>
  <w:style w:type="character" w:customStyle="1" w:styleId="67">
    <w:name w:val="Internet 链接"/>
    <w:basedOn w:val="68"/>
    <w:qFormat/>
    <w:uiPriority w:val="99"/>
    <w:rPr>
      <w:color w:val="0000FF"/>
      <w:u w:val="single"/>
    </w:rPr>
  </w:style>
  <w:style w:type="character" w:customStyle="1" w:styleId="68">
    <w:name w:val="默认段落字体1"/>
    <w:qFormat/>
    <w:uiPriority w:val="0"/>
  </w:style>
  <w:style w:type="paragraph" w:customStyle="1" w:styleId="69">
    <w:name w:val="标题 11"/>
    <w:basedOn w:val="58"/>
    <w:next w:val="58"/>
    <w:qFormat/>
    <w:uiPriority w:val="0"/>
    <w:pPr>
      <w:keepNext/>
      <w:keepLines/>
      <w:spacing w:line="576" w:lineRule="auto"/>
      <w:outlineLvl w:val="0"/>
    </w:pPr>
    <w:rPr>
      <w:b/>
      <w:bCs/>
      <w:sz w:val="44"/>
      <w:szCs w:val="44"/>
    </w:rPr>
  </w:style>
  <w:style w:type="paragraph" w:customStyle="1" w:styleId="70">
    <w:name w:val="正文文本1"/>
    <w:basedOn w:val="58"/>
    <w:qFormat/>
    <w:uiPriority w:val="1"/>
    <w:pPr>
      <w:ind w:left="1280"/>
    </w:pPr>
    <w:rPr>
      <w:rFonts w:ascii="宋体" w:hAnsi="宋体" w:eastAsia="宋体" w:cs="宋体"/>
      <w:sz w:val="24"/>
      <w:lang w:val="zh-CN" w:bidi="zh-CN"/>
    </w:rPr>
  </w:style>
  <w:style w:type="paragraph" w:customStyle="1" w:styleId="71">
    <w:name w:val="列出段落1"/>
    <w:basedOn w:val="58"/>
    <w:qFormat/>
    <w:uiPriority w:val="99"/>
    <w:pPr>
      <w:ind w:firstLine="200" w:firstLineChars="200"/>
    </w:pPr>
    <w:rPr>
      <w:rFonts w:ascii="Calibri" w:hAnsi="Calibri" w:cs="Calibri"/>
      <w:szCs w:val="21"/>
    </w:rPr>
  </w:style>
  <w:style w:type="paragraph" w:customStyle="1" w:styleId="72">
    <w:name w:val="标题 31"/>
    <w:basedOn w:val="58"/>
    <w:next w:val="58"/>
    <w:unhideWhenUsed/>
    <w:qFormat/>
    <w:uiPriority w:val="0"/>
    <w:pPr>
      <w:keepNext/>
      <w:keepLines/>
      <w:outlineLvl w:val="2"/>
    </w:pPr>
    <w:rPr>
      <w:rFonts w:ascii="楷体_GB2312" w:hAnsi="楷体_GB2312" w:eastAsia="楷体_GB2312"/>
      <w:sz w:val="28"/>
    </w:rPr>
  </w:style>
  <w:style w:type="paragraph" w:customStyle="1" w:styleId="73">
    <w:name w:val="页眉1"/>
    <w:basedOn w:val="58"/>
    <w:qFormat/>
    <w:uiPriority w:val="0"/>
    <w:pPr>
      <w:pBdr>
        <w:bottom w:val="single" w:color="000000" w:sz="6" w:space="1"/>
      </w:pBdr>
      <w:tabs>
        <w:tab w:val="center" w:pos="4153"/>
        <w:tab w:val="right" w:pos="8306"/>
      </w:tabs>
      <w:snapToGrid w:val="0"/>
      <w:jc w:val="center"/>
    </w:pPr>
    <w:rPr>
      <w:sz w:val="18"/>
      <w:szCs w:val="18"/>
    </w:rPr>
  </w:style>
  <w:style w:type="paragraph" w:customStyle="1" w:styleId="74">
    <w:name w:val="页脚1"/>
    <w:basedOn w:val="58"/>
    <w:qFormat/>
    <w:uiPriority w:val="0"/>
    <w:pPr>
      <w:tabs>
        <w:tab w:val="center" w:pos="4153"/>
        <w:tab w:val="right" w:pos="8306"/>
      </w:tabs>
      <w:snapToGrid w:val="0"/>
      <w:jc w:val="left"/>
    </w:pPr>
    <w:rPr>
      <w:rFonts w:eastAsia="宋体"/>
      <w:sz w:val="18"/>
      <w:szCs w:val="18"/>
    </w:rPr>
  </w:style>
  <w:style w:type="paragraph" w:customStyle="1" w:styleId="75">
    <w:name w:val="Table Text"/>
    <w:basedOn w:val="1"/>
    <w:semiHidden/>
    <w:qFormat/>
    <w:uiPriority w:val="0"/>
    <w:rPr>
      <w:rFonts w:ascii="宋体" w:hAnsi="宋体" w:eastAsia="宋体" w:cs="宋体"/>
      <w:sz w:val="20"/>
      <w:szCs w:val="20"/>
      <w:lang w:eastAsia="en-US"/>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标题 2 （二级）"/>
    <w:basedOn w:val="3"/>
    <w:qFormat/>
    <w:uiPriority w:val="0"/>
    <w:pPr>
      <w:spacing w:before="120" w:after="120" w:line="360" w:lineRule="auto"/>
      <w:jc w:val="left"/>
    </w:pPr>
    <w:rPr>
      <w:rFonts w:ascii="Times New Roman" w:hAnsi="Times New Roman" w:eastAsia="宋体" w:cs="Times New Roman"/>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2015-3027-4049-96D6-F66402723C7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2767</Words>
  <Characters>15773</Characters>
  <Lines>131</Lines>
  <Paragraphs>37</Paragraphs>
  <TotalTime>46</TotalTime>
  <ScaleCrop>false</ScaleCrop>
  <LinksUpToDate>false</LinksUpToDate>
  <CharactersWithSpaces>18503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2023-10-10T08:26:00Z</dcterms:created>
  <dc:creator>COFCO\zhucs</dc:creator>
  <cp:lastModifiedBy>郝红艳</cp:lastModifiedBy>
  <cp:lastPrinted>2022-10-04T07:04:00Z</cp:lastPrinted>
  <dcterms:modified xsi:type="dcterms:W3CDTF">2024-02-17T03:59:44Z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2D7E608CAEC04CE7AF3BFD4E21E564E8_13</vt:lpwstr>
  </property>
</Properties>
</file>